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BC" w:rsidRPr="00493C98" w:rsidRDefault="009A3ABC" w:rsidP="009A3ABC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>Stanovisko OŠMS ZK pro hodnocení výsledků hospodaření</w:t>
      </w:r>
    </w:p>
    <w:p w:rsidR="009A3ABC" w:rsidRPr="00493C98" w:rsidRDefault="009A3ABC" w:rsidP="009A3ABC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 xml:space="preserve"> příspěvkové organizace zřizované Zlínským krajem za rok </w:t>
      </w:r>
      <w:r w:rsidR="0026324A">
        <w:rPr>
          <w:rFonts w:ascii="Calibri" w:hAnsi="Calibri" w:cs="Arial"/>
          <w:b/>
          <w:smallCaps/>
        </w:rPr>
        <w:t>2016</w:t>
      </w:r>
    </w:p>
    <w:p w:rsidR="009A3ABC" w:rsidRPr="00493C98" w:rsidRDefault="009A3ABC" w:rsidP="009A3ABC">
      <w:pPr>
        <w:jc w:val="center"/>
        <w:rPr>
          <w:rFonts w:ascii="Calibri" w:hAnsi="Calibri" w:cs="Arial"/>
          <w:b/>
          <w:sz w:val="22"/>
          <w:szCs w:val="22"/>
        </w:rPr>
      </w:pPr>
    </w:p>
    <w:p w:rsidR="009A3ABC" w:rsidRPr="00F61EDD" w:rsidRDefault="00576AEC" w:rsidP="009A3ABC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>
        <w:rPr>
          <w:rFonts w:ascii="Calibri" w:hAnsi="Calibri" w:cs="Arial"/>
          <w:b/>
          <w:smallCaps/>
          <w:color w:val="1F497D"/>
          <w:sz w:val="32"/>
          <w:szCs w:val="32"/>
        </w:rPr>
        <w:t>Plavecká škola Uherské Hradiště</w:t>
      </w:r>
    </w:p>
    <w:p w:rsidR="009A3ABC" w:rsidRPr="00F61EDD" w:rsidRDefault="009A3ABC" w:rsidP="009A3ABC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 w:rsidRPr="00F61EDD">
        <w:rPr>
          <w:rFonts w:ascii="Calibri" w:hAnsi="Calibri" w:cs="Arial"/>
          <w:b/>
          <w:smallCaps/>
          <w:color w:val="1F497D"/>
          <w:sz w:val="32"/>
          <w:szCs w:val="32"/>
        </w:rPr>
        <w:t>IČ</w:t>
      </w:r>
      <w:r w:rsidR="00576AEC">
        <w:rPr>
          <w:rFonts w:ascii="Calibri" w:hAnsi="Calibri" w:cs="Arial"/>
          <w:b/>
          <w:smallCaps/>
          <w:color w:val="1F497D"/>
          <w:sz w:val="32"/>
          <w:szCs w:val="32"/>
        </w:rPr>
        <w:t xml:space="preserve"> 48489573</w:t>
      </w:r>
      <w:r w:rsidRPr="00F61EDD">
        <w:rPr>
          <w:rFonts w:ascii="Calibri" w:hAnsi="Calibri" w:cs="Arial"/>
          <w:b/>
          <w:smallCaps/>
          <w:color w:val="1F497D"/>
          <w:sz w:val="32"/>
          <w:szCs w:val="32"/>
        </w:rPr>
        <w:t xml:space="preserve"> </w:t>
      </w:r>
    </w:p>
    <w:p w:rsidR="009A3ABC" w:rsidRPr="00493C98" w:rsidRDefault="009A3ABC" w:rsidP="009A3ABC">
      <w:pPr>
        <w:rPr>
          <w:rFonts w:ascii="Calibri" w:hAnsi="Calibri"/>
          <w:sz w:val="28"/>
          <w:szCs w:val="28"/>
        </w:rPr>
      </w:pPr>
    </w:p>
    <w:p w:rsidR="009A3ABC" w:rsidRPr="00493C98" w:rsidRDefault="009A3ABC" w:rsidP="009A3ABC">
      <w:pPr>
        <w:rPr>
          <w:rFonts w:ascii="Calibri" w:hAnsi="Calibri" w:cs="Arial"/>
          <w:sz w:val="22"/>
          <w:szCs w:val="22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1.  Závazné ukazatele rozpočtu pro rok </w:t>
      </w:r>
      <w:proofErr w:type="gramStart"/>
      <w:r w:rsidR="0026324A">
        <w:rPr>
          <w:rFonts w:ascii="Calibri" w:hAnsi="Calibri" w:cs="Arial"/>
          <w:b/>
          <w:smallCaps/>
          <w:color w:val="1F497D"/>
          <w:sz w:val="28"/>
          <w:szCs w:val="28"/>
        </w:rPr>
        <w:t>2016</w:t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 </w:t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493C98">
        <w:rPr>
          <w:rFonts w:ascii="Calibri" w:hAnsi="Calibri" w:cs="Arial"/>
          <w:smallCaps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</w:t>
      </w:r>
      <w:r w:rsidRPr="00493C98"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z w:val="22"/>
          <w:szCs w:val="22"/>
        </w:rPr>
        <w:t xml:space="preserve">  </w:t>
      </w:r>
      <w:r w:rsidRPr="00493C98">
        <w:rPr>
          <w:rFonts w:ascii="Calibri" w:hAnsi="Calibri" w:cs="Arial"/>
          <w:sz w:val="22"/>
          <w:szCs w:val="22"/>
        </w:rPr>
        <w:t>Kč</w:t>
      </w:r>
      <w:proofErr w:type="gramEnd"/>
      <w:r w:rsidRPr="00493C98">
        <w:rPr>
          <w:rFonts w:ascii="Calibri" w:hAnsi="Calibri" w:cs="Arial"/>
          <w:sz w:val="22"/>
          <w:szCs w:val="22"/>
        </w:rPr>
        <w:t xml:space="preserve">    </w:t>
      </w: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825"/>
        <w:gridCol w:w="2825"/>
      </w:tblGrid>
      <w:tr w:rsidR="009A3ABC" w:rsidRPr="00493C98" w:rsidTr="007B2E16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neinvestiční: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  <w:r w:rsidR="00D2385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 31.12.</w:t>
            </w:r>
          </w:p>
        </w:tc>
      </w:tr>
      <w:tr w:rsidR="009A3ABC" w:rsidRPr="00493C98" w:rsidTr="007B2E16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Platy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576AE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576AE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493C98" w:rsidTr="007B2E16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493C98">
              <w:rPr>
                <w:rFonts w:ascii="Calibri" w:hAnsi="Calibri" w:cs="Arial"/>
                <w:sz w:val="22"/>
                <w:szCs w:val="22"/>
              </w:rPr>
              <w:t>statní osobní náklady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576AE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576AE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493C98" w:rsidTr="007B2E16">
        <w:trPr>
          <w:trHeight w:val="290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ONIV přímé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576AE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576AE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BD1DF7" w:rsidTr="007B2E16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BD1DF7" w:rsidRDefault="009A3ABC" w:rsidP="007B2E1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D1DF7">
              <w:rPr>
                <w:rFonts w:ascii="Calibri" w:hAnsi="Calibri" w:cs="Arial"/>
                <w:bCs/>
                <w:sz w:val="22"/>
                <w:szCs w:val="22"/>
              </w:rPr>
              <w:t>ONIV provozní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BD1DF7" w:rsidRDefault="00576AEC" w:rsidP="007B2E16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0</w:t>
            </w:r>
            <w:r w:rsidR="009A3ABC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BD1DF7" w:rsidRDefault="00576AEC" w:rsidP="007B2E16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182 000</w:t>
            </w:r>
            <w:r w:rsidR="009A3ABC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</w:tr>
      <w:tr w:rsidR="009A3ABC" w:rsidTr="007B2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9A3ABC" w:rsidRDefault="009A3ABC" w:rsidP="007B2E16">
            <w:pPr>
              <w:ind w:left="15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NIV ostatní</w:t>
            </w:r>
          </w:p>
        </w:tc>
        <w:tc>
          <w:tcPr>
            <w:tcW w:w="2825" w:type="dxa"/>
            <w:shd w:val="clear" w:color="auto" w:fill="auto"/>
          </w:tcPr>
          <w:p w:rsidR="009A3ABC" w:rsidRDefault="00576AE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9A3ABC" w:rsidRDefault="00576AE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10 000</w:t>
            </w:r>
            <w:r w:rsidR="009A3ABC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BD1DF7" w:rsidTr="007B2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9A3ABC" w:rsidRPr="00BD1DF7" w:rsidRDefault="009A3ABC" w:rsidP="007B2E16">
            <w:pPr>
              <w:ind w:left="15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D1DF7">
              <w:rPr>
                <w:rFonts w:ascii="Calibri" w:hAnsi="Calibri" w:cs="Arial"/>
                <w:b/>
                <w:sz w:val="22"/>
                <w:szCs w:val="22"/>
              </w:rPr>
              <w:t>Celkem</w:t>
            </w:r>
          </w:p>
        </w:tc>
        <w:tc>
          <w:tcPr>
            <w:tcW w:w="2825" w:type="dxa"/>
            <w:shd w:val="clear" w:color="auto" w:fill="auto"/>
          </w:tcPr>
          <w:p w:rsidR="009A3ABC" w:rsidRPr="00BD1DF7" w:rsidRDefault="00576AEC" w:rsidP="007B2E1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9A3ABC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9A3ABC" w:rsidRPr="00BD1DF7" w:rsidRDefault="00576AEC" w:rsidP="007B2E1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192 000</w:t>
            </w:r>
            <w:r w:rsidR="009A3ABC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</w:tr>
    </w:tbl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825"/>
        <w:gridCol w:w="2825"/>
      </w:tblGrid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  <w:r w:rsidR="00D2385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 31.12.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od zřizovatele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státního rozpočtu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v rámci ROP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303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státních fondů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574D8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Odvod z</w:t>
            </w:r>
            <w:r w:rsidR="00574D88">
              <w:rPr>
                <w:rFonts w:ascii="Calibri" w:hAnsi="Calibri" w:cs="Arial"/>
                <w:b/>
                <w:bCs/>
                <w:sz w:val="22"/>
                <w:szCs w:val="22"/>
              </w:rPr>
              <w:t> fondu investic</w:t>
            </w: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052B5E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052B5E">
        <w:rPr>
          <w:rFonts w:ascii="Calibri" w:hAnsi="Calibri" w:cs="Arial"/>
          <w:sz w:val="22"/>
          <w:szCs w:val="22"/>
        </w:rPr>
        <w:t xml:space="preserve">Usnesením </w:t>
      </w:r>
      <w:r w:rsidR="00576AEC">
        <w:rPr>
          <w:rFonts w:ascii="Calibri" w:hAnsi="Calibri" w:cs="Arial"/>
          <w:sz w:val="22"/>
          <w:szCs w:val="22"/>
        </w:rPr>
        <w:t>Rady</w:t>
      </w:r>
      <w:r w:rsidRPr="00052B5E">
        <w:rPr>
          <w:rFonts w:ascii="Calibri" w:hAnsi="Calibri" w:cs="Arial"/>
          <w:sz w:val="22"/>
          <w:szCs w:val="22"/>
        </w:rPr>
        <w:t xml:space="preserve"> Zlínského </w:t>
      </w:r>
      <w:r w:rsidRPr="00D953E6">
        <w:rPr>
          <w:rFonts w:ascii="Calibri" w:hAnsi="Calibri" w:cs="Arial"/>
          <w:sz w:val="22"/>
          <w:szCs w:val="22"/>
        </w:rPr>
        <w:t>kraje č.</w:t>
      </w:r>
      <w:r w:rsidR="00D953E6" w:rsidRPr="00D953E6">
        <w:rPr>
          <w:rFonts w:ascii="Calibri" w:hAnsi="Calibri" w:cs="Arial"/>
          <w:sz w:val="22"/>
          <w:szCs w:val="22"/>
        </w:rPr>
        <w:t xml:space="preserve"> </w:t>
      </w:r>
      <w:r w:rsidR="00576AEC">
        <w:rPr>
          <w:rFonts w:ascii="Calibri" w:hAnsi="Calibri" w:cs="Arial"/>
          <w:sz w:val="22"/>
          <w:szCs w:val="22"/>
        </w:rPr>
        <w:t>0951/R23</w:t>
      </w:r>
      <w:r w:rsidR="005545BA">
        <w:rPr>
          <w:rFonts w:ascii="Calibri" w:hAnsi="Calibri" w:cs="Arial"/>
          <w:sz w:val="22"/>
          <w:szCs w:val="22"/>
        </w:rPr>
        <w:t>/1</w:t>
      </w:r>
      <w:r w:rsidR="00576AEC">
        <w:rPr>
          <w:rFonts w:ascii="Calibri" w:hAnsi="Calibri" w:cs="Arial"/>
          <w:sz w:val="22"/>
          <w:szCs w:val="22"/>
        </w:rPr>
        <w:t>6</w:t>
      </w:r>
      <w:r w:rsidRPr="00D953E6">
        <w:rPr>
          <w:rFonts w:ascii="Calibri" w:hAnsi="Calibri" w:cs="Arial"/>
          <w:sz w:val="22"/>
          <w:szCs w:val="22"/>
        </w:rPr>
        <w:t xml:space="preserve"> ze dne</w:t>
      </w:r>
      <w:r w:rsidR="005545BA">
        <w:rPr>
          <w:rFonts w:ascii="Calibri" w:hAnsi="Calibri" w:cs="Arial"/>
          <w:sz w:val="22"/>
          <w:szCs w:val="22"/>
        </w:rPr>
        <w:t xml:space="preserve"> </w:t>
      </w:r>
      <w:r w:rsidR="00576AEC">
        <w:rPr>
          <w:rFonts w:ascii="Calibri" w:hAnsi="Calibri" w:cs="Arial"/>
          <w:sz w:val="22"/>
          <w:szCs w:val="22"/>
        </w:rPr>
        <w:t>28</w:t>
      </w:r>
      <w:r w:rsidR="008B647F" w:rsidRPr="00D953E6">
        <w:rPr>
          <w:rFonts w:ascii="Calibri" w:hAnsi="Calibri" w:cs="Arial"/>
          <w:sz w:val="22"/>
          <w:szCs w:val="22"/>
        </w:rPr>
        <w:t xml:space="preserve">. </w:t>
      </w:r>
      <w:r w:rsidR="00576AEC">
        <w:rPr>
          <w:rFonts w:ascii="Calibri" w:hAnsi="Calibri" w:cs="Arial"/>
          <w:sz w:val="22"/>
          <w:szCs w:val="22"/>
        </w:rPr>
        <w:t>11</w:t>
      </w:r>
      <w:r w:rsidR="008B647F" w:rsidRPr="00D953E6">
        <w:rPr>
          <w:rFonts w:ascii="Calibri" w:hAnsi="Calibri" w:cs="Arial"/>
          <w:sz w:val="22"/>
          <w:szCs w:val="22"/>
        </w:rPr>
        <w:t xml:space="preserve">. </w:t>
      </w:r>
      <w:r w:rsidRPr="00D953E6">
        <w:rPr>
          <w:rFonts w:ascii="Calibri" w:hAnsi="Calibri" w:cs="Arial"/>
          <w:sz w:val="22"/>
          <w:szCs w:val="22"/>
        </w:rPr>
        <w:t>201</w:t>
      </w:r>
      <w:r w:rsidR="00576AEC">
        <w:rPr>
          <w:rFonts w:ascii="Calibri" w:hAnsi="Calibri" w:cs="Arial"/>
          <w:sz w:val="22"/>
          <w:szCs w:val="22"/>
        </w:rPr>
        <w:t>6</w:t>
      </w:r>
      <w:r w:rsidRPr="00052B5E">
        <w:rPr>
          <w:rFonts w:ascii="Calibri" w:hAnsi="Calibri" w:cs="Arial"/>
          <w:sz w:val="22"/>
          <w:szCs w:val="22"/>
        </w:rPr>
        <w:t xml:space="preserve"> byl v rámci rozpočtu Zlínského kraje na rok </w:t>
      </w:r>
      <w:r w:rsidR="005545BA">
        <w:rPr>
          <w:rFonts w:ascii="Calibri" w:hAnsi="Calibri" w:cs="Arial"/>
          <w:sz w:val="22"/>
          <w:szCs w:val="22"/>
        </w:rPr>
        <w:t>2016</w:t>
      </w:r>
      <w:r w:rsidRPr="00052B5E">
        <w:rPr>
          <w:rFonts w:ascii="Calibri" w:hAnsi="Calibri" w:cs="Arial"/>
          <w:sz w:val="22"/>
          <w:szCs w:val="22"/>
        </w:rPr>
        <w:t xml:space="preserve"> schválen příspěvek na provoz ve výši Kč</w:t>
      </w:r>
      <w:r w:rsidR="00576AEC">
        <w:rPr>
          <w:rFonts w:ascii="Calibri" w:hAnsi="Calibri" w:cs="Arial"/>
          <w:sz w:val="22"/>
          <w:szCs w:val="22"/>
        </w:rPr>
        <w:t xml:space="preserve"> 182 000</w:t>
      </w:r>
      <w:r w:rsidRPr="00052B5E">
        <w:rPr>
          <w:rFonts w:ascii="Calibri" w:hAnsi="Calibri" w:cs="Arial"/>
          <w:sz w:val="22"/>
          <w:szCs w:val="22"/>
        </w:rPr>
        <w:t>,00</w:t>
      </w:r>
      <w:r w:rsidR="008101E8">
        <w:rPr>
          <w:rFonts w:ascii="Calibri" w:hAnsi="Calibri" w:cs="Arial"/>
          <w:sz w:val="22"/>
          <w:szCs w:val="22"/>
        </w:rPr>
        <w:t xml:space="preserve"> na pořízení zařízení a vybavení v oblasti IT</w:t>
      </w:r>
      <w:r w:rsidRPr="00052B5E">
        <w:rPr>
          <w:rFonts w:ascii="Calibri" w:hAnsi="Calibri" w:cs="Arial"/>
          <w:sz w:val="22"/>
          <w:szCs w:val="22"/>
        </w:rPr>
        <w:t xml:space="preserve">. </w:t>
      </w:r>
    </w:p>
    <w:p w:rsidR="009A3ABC" w:rsidRPr="00287C09" w:rsidRDefault="009A3ABC" w:rsidP="009A3ABC">
      <w:pPr>
        <w:jc w:val="both"/>
        <w:rPr>
          <w:rFonts w:ascii="Calibri" w:hAnsi="Calibri" w:cs="Arial"/>
          <w:color w:val="4F81BD"/>
          <w:sz w:val="22"/>
          <w:szCs w:val="22"/>
        </w:rPr>
      </w:pPr>
    </w:p>
    <w:p w:rsidR="00576AEC" w:rsidRPr="00CB564C" w:rsidRDefault="009A3ABC" w:rsidP="00576AEC">
      <w:pPr>
        <w:jc w:val="both"/>
        <w:rPr>
          <w:rFonts w:ascii="Calibri" w:hAnsi="Calibri" w:cs="Arial"/>
          <w:sz w:val="22"/>
          <w:szCs w:val="22"/>
        </w:rPr>
      </w:pPr>
      <w:r w:rsidRPr="00081154">
        <w:rPr>
          <w:rFonts w:ascii="Calibri" w:hAnsi="Calibri" w:cs="Arial"/>
          <w:sz w:val="22"/>
          <w:szCs w:val="22"/>
        </w:rPr>
        <w:t xml:space="preserve">Usnesením </w:t>
      </w:r>
      <w:r w:rsidR="00576AEC">
        <w:rPr>
          <w:rFonts w:ascii="Calibri" w:hAnsi="Calibri" w:cs="Arial"/>
          <w:sz w:val="22"/>
          <w:szCs w:val="22"/>
        </w:rPr>
        <w:t>Rady</w:t>
      </w:r>
      <w:r w:rsidRPr="00081154">
        <w:rPr>
          <w:rFonts w:ascii="Calibri" w:hAnsi="Calibri" w:cs="Arial"/>
          <w:sz w:val="22"/>
          <w:szCs w:val="22"/>
        </w:rPr>
        <w:t xml:space="preserve"> Zlínského kraje č.</w:t>
      </w:r>
      <w:r w:rsidR="00695A37" w:rsidRPr="00081154">
        <w:rPr>
          <w:rFonts w:ascii="Calibri" w:hAnsi="Calibri" w:cs="Arial"/>
          <w:sz w:val="22"/>
          <w:szCs w:val="22"/>
        </w:rPr>
        <w:t xml:space="preserve"> </w:t>
      </w:r>
      <w:r w:rsidR="00576AEC">
        <w:rPr>
          <w:rFonts w:ascii="Calibri" w:hAnsi="Calibri" w:cs="Arial"/>
          <w:sz w:val="22"/>
          <w:szCs w:val="22"/>
        </w:rPr>
        <w:t>0249</w:t>
      </w:r>
      <w:r w:rsidRPr="00081154">
        <w:rPr>
          <w:rFonts w:ascii="Calibri" w:hAnsi="Calibri" w:cs="Arial"/>
          <w:sz w:val="22"/>
          <w:szCs w:val="22"/>
        </w:rPr>
        <w:t>/</w:t>
      </w:r>
      <w:r w:rsidR="00576AEC">
        <w:rPr>
          <w:rFonts w:ascii="Calibri" w:hAnsi="Calibri" w:cs="Arial"/>
          <w:sz w:val="22"/>
          <w:szCs w:val="22"/>
        </w:rPr>
        <w:t>R06</w:t>
      </w:r>
      <w:r w:rsidRPr="00081154">
        <w:rPr>
          <w:rFonts w:ascii="Calibri" w:hAnsi="Calibri" w:cs="Arial"/>
          <w:sz w:val="22"/>
          <w:szCs w:val="22"/>
        </w:rPr>
        <w:t>/</w:t>
      </w:r>
      <w:r w:rsidR="00E67E88" w:rsidRPr="00081154">
        <w:rPr>
          <w:rFonts w:ascii="Calibri" w:hAnsi="Calibri" w:cs="Arial"/>
          <w:sz w:val="22"/>
          <w:szCs w:val="22"/>
        </w:rPr>
        <w:t>1</w:t>
      </w:r>
      <w:r w:rsidR="008F31B5" w:rsidRPr="00081154">
        <w:rPr>
          <w:rFonts w:ascii="Calibri" w:hAnsi="Calibri" w:cs="Arial"/>
          <w:sz w:val="22"/>
          <w:szCs w:val="22"/>
        </w:rPr>
        <w:t>6</w:t>
      </w:r>
      <w:r w:rsidRPr="00081154">
        <w:rPr>
          <w:rFonts w:ascii="Calibri" w:hAnsi="Calibri" w:cs="Arial"/>
          <w:sz w:val="22"/>
          <w:szCs w:val="22"/>
        </w:rPr>
        <w:t xml:space="preserve"> ze dne</w:t>
      </w:r>
      <w:r w:rsidR="008F31B5" w:rsidRPr="00081154">
        <w:rPr>
          <w:rFonts w:ascii="Calibri" w:hAnsi="Calibri" w:cs="Arial"/>
          <w:sz w:val="22"/>
          <w:szCs w:val="22"/>
        </w:rPr>
        <w:t xml:space="preserve"> 29. 0</w:t>
      </w:r>
      <w:r w:rsidR="00576AEC">
        <w:rPr>
          <w:rFonts w:ascii="Calibri" w:hAnsi="Calibri" w:cs="Arial"/>
          <w:sz w:val="22"/>
          <w:szCs w:val="22"/>
        </w:rPr>
        <w:t>3</w:t>
      </w:r>
      <w:r w:rsidR="008F31B5" w:rsidRPr="00081154">
        <w:rPr>
          <w:rFonts w:ascii="Calibri" w:hAnsi="Calibri" w:cs="Arial"/>
          <w:sz w:val="22"/>
          <w:szCs w:val="22"/>
        </w:rPr>
        <w:t>. 2016</w:t>
      </w:r>
      <w:r w:rsidR="008E3898" w:rsidRPr="00081154">
        <w:rPr>
          <w:rFonts w:ascii="Calibri" w:hAnsi="Calibri" w:cs="Arial"/>
          <w:sz w:val="22"/>
          <w:szCs w:val="22"/>
        </w:rPr>
        <w:t xml:space="preserve"> </w:t>
      </w:r>
      <w:r w:rsidR="00576AEC" w:rsidRPr="00CB564C">
        <w:rPr>
          <w:rFonts w:ascii="Calibri" w:hAnsi="Calibri" w:cs="Arial"/>
          <w:sz w:val="22"/>
          <w:szCs w:val="22"/>
        </w:rPr>
        <w:t xml:space="preserve">byl </w:t>
      </w:r>
      <w:r w:rsidR="008101E8">
        <w:rPr>
          <w:rFonts w:ascii="Calibri" w:hAnsi="Calibri" w:cs="Arial"/>
          <w:sz w:val="22"/>
          <w:szCs w:val="22"/>
        </w:rPr>
        <w:t xml:space="preserve">schválen </w:t>
      </w:r>
      <w:r w:rsidR="00576AEC" w:rsidRPr="00CB564C">
        <w:rPr>
          <w:rFonts w:ascii="Calibri" w:hAnsi="Calibri" w:cs="Arial"/>
          <w:sz w:val="22"/>
          <w:szCs w:val="22"/>
        </w:rPr>
        <w:t>účelov</w:t>
      </w:r>
      <w:r w:rsidR="008101E8">
        <w:rPr>
          <w:rFonts w:ascii="Calibri" w:hAnsi="Calibri" w:cs="Arial"/>
          <w:sz w:val="22"/>
          <w:szCs w:val="22"/>
        </w:rPr>
        <w:t>ý</w:t>
      </w:r>
      <w:r w:rsidR="00576AEC" w:rsidRPr="00CB564C">
        <w:rPr>
          <w:rFonts w:ascii="Calibri" w:hAnsi="Calibri" w:cs="Arial"/>
          <w:sz w:val="22"/>
          <w:szCs w:val="22"/>
        </w:rPr>
        <w:t xml:space="preserve"> </w:t>
      </w:r>
      <w:r w:rsidR="008101E8">
        <w:rPr>
          <w:rFonts w:ascii="Calibri" w:hAnsi="Calibri" w:cs="Arial"/>
          <w:sz w:val="22"/>
          <w:szCs w:val="22"/>
        </w:rPr>
        <w:t xml:space="preserve">příspěvek </w:t>
      </w:r>
      <w:r w:rsidR="008101E8">
        <w:rPr>
          <w:rFonts w:ascii="Calibri" w:hAnsi="Calibri" w:cs="Arial"/>
          <w:sz w:val="22"/>
          <w:szCs w:val="22"/>
        </w:rPr>
        <w:br/>
        <w:t>na provoz</w:t>
      </w:r>
      <w:r w:rsidR="00576AEC" w:rsidRPr="00CB564C">
        <w:rPr>
          <w:rFonts w:ascii="Calibri" w:hAnsi="Calibri" w:cs="Arial"/>
          <w:sz w:val="22"/>
          <w:szCs w:val="22"/>
        </w:rPr>
        <w:t xml:space="preserve"> </w:t>
      </w:r>
      <w:r w:rsidR="00576AEC" w:rsidRPr="00BD2C84">
        <w:rPr>
          <w:rFonts w:ascii="Calibri" w:hAnsi="Calibri" w:cs="Arial"/>
          <w:sz w:val="22"/>
          <w:szCs w:val="22"/>
        </w:rPr>
        <w:t>z Fondu Zlínského kraje</w:t>
      </w:r>
      <w:r w:rsidR="00576AEC">
        <w:rPr>
          <w:rFonts w:ascii="Calibri" w:hAnsi="Calibri" w:cs="Arial"/>
          <w:sz w:val="22"/>
          <w:szCs w:val="22"/>
        </w:rPr>
        <w:t xml:space="preserve"> </w:t>
      </w:r>
      <w:r w:rsidR="00576AEC" w:rsidRPr="00BD2C84">
        <w:rPr>
          <w:rFonts w:ascii="Calibri" w:hAnsi="Calibri" w:cs="Arial"/>
          <w:sz w:val="22"/>
          <w:szCs w:val="22"/>
        </w:rPr>
        <w:t>na plaveck</w:t>
      </w:r>
      <w:r w:rsidR="00576AEC" w:rsidRPr="00CB564C">
        <w:rPr>
          <w:rFonts w:ascii="Calibri" w:hAnsi="Calibri" w:cs="Arial"/>
          <w:sz w:val="22"/>
          <w:szCs w:val="22"/>
        </w:rPr>
        <w:t xml:space="preserve">ou </w:t>
      </w:r>
      <w:r w:rsidR="00576AEC" w:rsidRPr="00BD2C84">
        <w:rPr>
          <w:rFonts w:ascii="Calibri" w:hAnsi="Calibri" w:cs="Arial"/>
          <w:sz w:val="22"/>
          <w:szCs w:val="22"/>
        </w:rPr>
        <w:t>soutěž</w:t>
      </w:r>
      <w:r w:rsidR="008101E8">
        <w:rPr>
          <w:rFonts w:ascii="Calibri" w:hAnsi="Calibri" w:cs="Arial"/>
          <w:sz w:val="22"/>
          <w:szCs w:val="22"/>
        </w:rPr>
        <w:t>:</w:t>
      </w:r>
      <w:r w:rsidR="00576AEC" w:rsidRPr="00BD2C84">
        <w:rPr>
          <w:rFonts w:ascii="Calibri" w:hAnsi="Calibri" w:cs="Arial"/>
          <w:sz w:val="22"/>
          <w:szCs w:val="22"/>
        </w:rPr>
        <w:t xml:space="preserve"> </w:t>
      </w:r>
      <w:r w:rsidR="00576AEC" w:rsidRPr="00CB564C">
        <w:rPr>
          <w:rFonts w:ascii="Calibri" w:hAnsi="Calibri" w:cs="Arial"/>
          <w:sz w:val="22"/>
          <w:szCs w:val="22"/>
        </w:rPr>
        <w:t>„</w:t>
      </w:r>
      <w:r w:rsidR="00576AEC" w:rsidRPr="00BD2C84">
        <w:rPr>
          <w:rFonts w:ascii="Calibri" w:hAnsi="Calibri" w:cs="Arial"/>
          <w:sz w:val="22"/>
          <w:szCs w:val="22"/>
        </w:rPr>
        <w:t xml:space="preserve">Přebor regionu v plavání </w:t>
      </w:r>
      <w:r w:rsidR="00576AEC">
        <w:rPr>
          <w:rFonts w:ascii="Calibri" w:hAnsi="Calibri" w:cs="Arial"/>
          <w:sz w:val="22"/>
          <w:szCs w:val="22"/>
        </w:rPr>
        <w:t xml:space="preserve">dětí mateřských škol a </w:t>
      </w:r>
      <w:r w:rsidR="00576AEC" w:rsidRPr="00BD2C84">
        <w:rPr>
          <w:rFonts w:ascii="Calibri" w:hAnsi="Calibri" w:cs="Arial"/>
          <w:sz w:val="22"/>
          <w:szCs w:val="22"/>
        </w:rPr>
        <w:t xml:space="preserve">žáků základních škol“ </w:t>
      </w:r>
      <w:r w:rsidR="00576AEC" w:rsidRPr="00CB564C">
        <w:rPr>
          <w:rFonts w:ascii="Calibri" w:hAnsi="Calibri" w:cs="Arial"/>
          <w:sz w:val="22"/>
          <w:szCs w:val="22"/>
        </w:rPr>
        <w:t xml:space="preserve">ve výši Kč </w:t>
      </w:r>
      <w:r w:rsidR="00576AEC">
        <w:rPr>
          <w:rFonts w:ascii="Calibri" w:hAnsi="Calibri" w:cs="Arial"/>
          <w:sz w:val="22"/>
          <w:szCs w:val="22"/>
        </w:rPr>
        <w:t>10</w:t>
      </w:r>
      <w:r w:rsidR="00576AEC" w:rsidRPr="00CB564C">
        <w:rPr>
          <w:rFonts w:ascii="Calibri" w:hAnsi="Calibri" w:cs="Arial"/>
          <w:sz w:val="22"/>
          <w:szCs w:val="22"/>
        </w:rPr>
        <w:t xml:space="preserve"> 000,00. </w: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Mimorozpočtové zdroje</w:t>
      </w:r>
    </w:p>
    <w:p w:rsidR="009A3ABC" w:rsidRPr="00493C98" w:rsidRDefault="009A3ABC" w:rsidP="009A3ABC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přijaté finanční dary ve výši Kč</w:t>
      </w:r>
      <w:r w:rsidR="008101E8">
        <w:rPr>
          <w:rFonts w:ascii="Calibri" w:hAnsi="Calibri" w:cs="Arial"/>
          <w:sz w:val="22"/>
          <w:szCs w:val="22"/>
        </w:rPr>
        <w:t xml:space="preserve"> 24 500</w:t>
      </w:r>
      <w:r>
        <w:rPr>
          <w:rFonts w:ascii="Calibri" w:hAnsi="Calibri" w:cs="Arial"/>
          <w:sz w:val="22"/>
          <w:szCs w:val="22"/>
        </w:rPr>
        <w:t>,00.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29D27C6" wp14:editId="520B93D8">
                <wp:extent cx="6286500" cy="942975"/>
                <wp:effectExtent l="0" t="0" r="0" b="9525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429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8101E8" w:rsidRDefault="009A3ABC" w:rsidP="008101E8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Závazné ukazatele rozpočtu byly organizací dodrženy. </w:t>
                            </w:r>
                          </w:p>
                          <w:p w:rsidR="008101E8" w:rsidRDefault="008101E8" w:rsidP="008101E8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Organizace hospodařila také s mimorozpočtovými zdroji. Všechny zdroje byly v souladu s pravidly účelně použity na rozvoj hlavní činnosti školy a rozvoj dalších školních aktivit. </w:t>
                            </w:r>
                          </w:p>
                          <w:p w:rsidR="008101E8" w:rsidRPr="00090BE4" w:rsidRDefault="008101E8" w:rsidP="008101E8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B7B1D" w:rsidRPr="00090BE4" w:rsidRDefault="00EB7B1D" w:rsidP="00EB7B1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Pr="00F61EDD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/>
                          <w:p w:rsidR="009A3ABC" w:rsidRDefault="009A3ABC" w:rsidP="009A3ABC"/>
                          <w:p w:rsidR="009A3ABC" w:rsidRDefault="009A3ABC" w:rsidP="009A3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9D27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:rsidR="008101E8" w:rsidRDefault="009A3ABC" w:rsidP="008101E8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Závazné ukazatele rozpočtu byly organizací dodrženy. </w:t>
                      </w:r>
                    </w:p>
                    <w:p w:rsidR="008101E8" w:rsidRDefault="008101E8" w:rsidP="008101E8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Organizace hospodařila také s mimorozpočtovými zdroji. Všechny zdroje byly v souladu s pravidly účelně použity na rozvoj hlavní činnosti školy a rozvoj dalších školních aktivit. </w:t>
                      </w:r>
                    </w:p>
                    <w:p w:rsidR="008101E8" w:rsidRPr="00090BE4" w:rsidRDefault="008101E8" w:rsidP="008101E8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B7B1D" w:rsidRPr="00090BE4" w:rsidRDefault="00EB7B1D" w:rsidP="00EB7B1D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Pr="00F61EDD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/>
                    <w:p w:rsidR="009A3ABC" w:rsidRDefault="009A3ABC" w:rsidP="009A3ABC"/>
                    <w:p w:rsidR="009A3ABC" w:rsidRDefault="009A3ABC" w:rsidP="009A3ABC"/>
                  </w:txbxContent>
                </v:textbox>
                <w10:anchorlock/>
              </v:shape>
            </w:pict>
          </mc:Fallback>
        </mc:AlternateContent>
      </w: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F61EDD" w:rsidRDefault="009A3ABC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2.  Přehled o plnění rozpočtu vybraných položek nákladů a výnosů hlavní činnosti</w:t>
      </w:r>
    </w:p>
    <w:p w:rsidR="009A3ABC" w:rsidRDefault="009A3ABC" w:rsidP="009A3ABC">
      <w:pPr>
        <w:rPr>
          <w:rFonts w:ascii="Calibri" w:hAnsi="Calibri" w:cs="Arial"/>
          <w:color w:val="0000FF"/>
          <w:sz w:val="22"/>
          <w:szCs w:val="22"/>
        </w:rPr>
      </w:pPr>
    </w:p>
    <w:p w:rsidR="008101E8" w:rsidRPr="00493C98" w:rsidRDefault="008101E8" w:rsidP="008101E8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Celkové náklady organizace v hlavní činnosti k 31. 12. </w:t>
      </w:r>
      <w:r>
        <w:rPr>
          <w:rFonts w:ascii="Calibri" w:hAnsi="Calibri" w:cs="Arial"/>
          <w:sz w:val="22"/>
          <w:szCs w:val="22"/>
        </w:rPr>
        <w:t>2016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představovaly částku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6 132 964,38</w:t>
      </w:r>
      <w:r w:rsidRPr="00493C98">
        <w:rPr>
          <w:rFonts w:ascii="Calibri" w:hAnsi="Calibri" w:cs="Arial"/>
          <w:sz w:val="22"/>
          <w:szCs w:val="22"/>
        </w:rPr>
        <w:t xml:space="preserve"> a byly</w:t>
      </w:r>
      <w:r>
        <w:rPr>
          <w:rFonts w:ascii="Calibri" w:hAnsi="Calibri" w:cs="Arial"/>
          <w:sz w:val="22"/>
          <w:szCs w:val="22"/>
        </w:rPr>
        <w:t xml:space="preserve"> rovnoměrně</w:t>
      </w:r>
      <w:r w:rsidRPr="00493C98">
        <w:rPr>
          <w:rFonts w:ascii="Calibri" w:hAnsi="Calibri" w:cs="Arial"/>
          <w:sz w:val="22"/>
          <w:szCs w:val="22"/>
        </w:rPr>
        <w:t xml:space="preserve"> čerpány. </w:t>
      </w:r>
    </w:p>
    <w:p w:rsidR="008101E8" w:rsidRPr="00493C98" w:rsidRDefault="008101E8" w:rsidP="009A3ABC">
      <w:pPr>
        <w:rPr>
          <w:rFonts w:ascii="Calibri" w:hAnsi="Calibri" w:cs="Arial"/>
          <w:color w:val="0000FF"/>
          <w:sz w:val="22"/>
          <w:szCs w:val="22"/>
        </w:rPr>
      </w:pPr>
      <w:r w:rsidRPr="008101E8">
        <w:rPr>
          <w:noProof/>
        </w:rPr>
        <w:lastRenderedPageBreak/>
        <w:drawing>
          <wp:inline distT="0" distB="0" distL="0" distR="0">
            <wp:extent cx="5759450" cy="402857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2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Pr="00493C98" w:rsidRDefault="009A3ABC" w:rsidP="009A3ABC">
      <w:pPr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 hlediska čerpání rozpočtu </w:t>
      </w:r>
      <w:r w:rsidR="00EB64DB">
        <w:rPr>
          <w:rFonts w:ascii="Calibri" w:hAnsi="Calibri" w:cs="Arial"/>
          <w:sz w:val="22"/>
          <w:szCs w:val="22"/>
        </w:rPr>
        <w:t xml:space="preserve">došlo k </w:t>
      </w:r>
      <w:r w:rsidRPr="00493C98">
        <w:rPr>
          <w:rFonts w:ascii="Calibri" w:hAnsi="Calibri" w:cs="Arial"/>
          <w:sz w:val="22"/>
          <w:szCs w:val="22"/>
        </w:rPr>
        <w:t>nárůst</w:t>
      </w:r>
      <w:r w:rsidR="00EB64DB">
        <w:rPr>
          <w:rFonts w:ascii="Calibri" w:hAnsi="Calibri" w:cs="Arial"/>
          <w:sz w:val="22"/>
          <w:szCs w:val="22"/>
        </w:rPr>
        <w:t>u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EB64DB">
        <w:rPr>
          <w:rFonts w:ascii="Calibri" w:hAnsi="Calibri" w:cs="Arial"/>
          <w:sz w:val="22"/>
          <w:szCs w:val="22"/>
        </w:rPr>
        <w:t xml:space="preserve">především </w:t>
      </w:r>
      <w:r w:rsidRPr="00493C98">
        <w:rPr>
          <w:rFonts w:ascii="Calibri" w:hAnsi="Calibri" w:cs="Arial"/>
          <w:sz w:val="22"/>
          <w:szCs w:val="22"/>
        </w:rPr>
        <w:t xml:space="preserve">u </w:t>
      </w:r>
      <w:r>
        <w:rPr>
          <w:rFonts w:ascii="Calibri" w:hAnsi="Calibri" w:cs="Arial"/>
          <w:sz w:val="22"/>
          <w:szCs w:val="22"/>
        </w:rPr>
        <w:t xml:space="preserve">následujících </w:t>
      </w:r>
      <w:r w:rsidRPr="00493C98">
        <w:rPr>
          <w:rFonts w:ascii="Calibri" w:hAnsi="Calibri" w:cs="Arial"/>
          <w:sz w:val="22"/>
          <w:szCs w:val="22"/>
        </w:rPr>
        <w:t>položek:</w:t>
      </w:r>
      <w:r w:rsidR="008101E8">
        <w:rPr>
          <w:rFonts w:ascii="Calibri" w:hAnsi="Calibri" w:cs="Arial"/>
          <w:sz w:val="22"/>
          <w:szCs w:val="22"/>
        </w:rPr>
        <w:t xml:space="preserve"> 5137 drobný dlouhodobý hmotný majetek</w:t>
      </w:r>
      <w:r w:rsidR="00A42A86">
        <w:rPr>
          <w:rFonts w:ascii="Calibri" w:hAnsi="Calibri" w:cs="Arial"/>
          <w:sz w:val="22"/>
          <w:szCs w:val="22"/>
        </w:rPr>
        <w:t xml:space="preserve"> – obnova zařízení a vybavení IT, 513. materiál – nákup oblečení a plaveckých pomůcek a 5171 opravy a udržování – velká poruchovost auta.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Náklady na platy byly čerpány ve výši</w:t>
      </w:r>
      <w:r w:rsidR="00A42A86">
        <w:rPr>
          <w:rFonts w:ascii="Calibri" w:hAnsi="Calibri" w:cs="Arial"/>
          <w:sz w:val="22"/>
          <w:szCs w:val="22"/>
        </w:rPr>
        <w:t xml:space="preserve"> 93,63 </w:t>
      </w:r>
      <w:r w:rsidRPr="00493C98">
        <w:rPr>
          <w:rFonts w:ascii="Calibri" w:hAnsi="Calibri" w:cs="Arial"/>
          <w:sz w:val="22"/>
          <w:szCs w:val="22"/>
        </w:rPr>
        <w:t xml:space="preserve">% upraveného rozpočtu a ostatní osobní náklady </w:t>
      </w:r>
      <w:r w:rsidR="00A42A86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byly čerpány. </w: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Oproti roku 20</w:t>
      </w:r>
      <w:r w:rsidR="00407D74">
        <w:rPr>
          <w:rFonts w:ascii="Calibri" w:hAnsi="Calibri" w:cs="Arial"/>
          <w:sz w:val="22"/>
          <w:szCs w:val="22"/>
        </w:rPr>
        <w:t>1</w:t>
      </w:r>
      <w:r w:rsidR="0026324A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(Kč</w:t>
      </w:r>
      <w:r w:rsidR="00A42A86">
        <w:rPr>
          <w:rFonts w:ascii="Calibri" w:hAnsi="Calibri" w:cs="Arial"/>
          <w:sz w:val="22"/>
          <w:szCs w:val="22"/>
        </w:rPr>
        <w:t xml:space="preserve"> 6 108 629,73</w:t>
      </w:r>
      <w:r w:rsidRPr="00493C98">
        <w:rPr>
          <w:rFonts w:ascii="Calibri" w:hAnsi="Calibri" w:cs="Arial"/>
          <w:sz w:val="22"/>
          <w:szCs w:val="22"/>
        </w:rPr>
        <w:t>) došlo ke zvýšení nákladů o Kč</w:t>
      </w:r>
      <w:r>
        <w:rPr>
          <w:rFonts w:ascii="Calibri" w:hAnsi="Calibri" w:cs="Arial"/>
          <w:sz w:val="22"/>
          <w:szCs w:val="22"/>
        </w:rPr>
        <w:t xml:space="preserve"> </w:t>
      </w:r>
      <w:r w:rsidR="00A42A86">
        <w:rPr>
          <w:rFonts w:ascii="Calibri" w:hAnsi="Calibri" w:cs="Arial"/>
          <w:sz w:val="22"/>
          <w:szCs w:val="22"/>
        </w:rPr>
        <w:t>24 334,65</w:t>
      </w:r>
      <w:r w:rsidRPr="00493C98">
        <w:rPr>
          <w:rFonts w:ascii="Calibri" w:hAnsi="Calibri" w:cs="Arial"/>
          <w:sz w:val="22"/>
          <w:szCs w:val="22"/>
        </w:rPr>
        <w:t>, tj. o</w:t>
      </w:r>
      <w:r w:rsidR="00A42A86">
        <w:rPr>
          <w:rFonts w:ascii="Calibri" w:hAnsi="Calibri" w:cs="Arial"/>
          <w:sz w:val="22"/>
          <w:szCs w:val="22"/>
        </w:rPr>
        <w:t xml:space="preserve"> 0,40 </w:t>
      </w:r>
      <w:r w:rsidRPr="00493C98">
        <w:rPr>
          <w:rFonts w:ascii="Calibri" w:hAnsi="Calibri" w:cs="Arial"/>
          <w:sz w:val="22"/>
          <w:szCs w:val="22"/>
        </w:rPr>
        <w:t>%.</w:t>
      </w: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811B3F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811B3F">
        <w:rPr>
          <w:noProof/>
        </w:rPr>
        <w:drawing>
          <wp:inline distT="0" distB="0" distL="0" distR="0">
            <wp:extent cx="5759450" cy="3158908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5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lastRenderedPageBreak/>
        <w:t>Celkové náklady organizace v hlavní činnosti byly kryty celkovými výnosy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811B3F">
        <w:rPr>
          <w:rFonts w:ascii="Calibri" w:hAnsi="Calibri" w:cs="Arial"/>
          <w:sz w:val="22"/>
          <w:szCs w:val="22"/>
        </w:rPr>
        <w:t>6 133 095,00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>
        <w:rPr>
          <w:rFonts w:ascii="Calibri" w:hAnsi="Calibri" w:cs="Arial"/>
          <w:sz w:val="22"/>
          <w:szCs w:val="22"/>
        </w:rPr>
        <w:t>výnosy z</w:t>
      </w:r>
      <w:r w:rsidR="00DE2D9A">
        <w:rPr>
          <w:rFonts w:ascii="Calibri" w:hAnsi="Calibri" w:cs="Arial"/>
          <w:sz w:val="22"/>
          <w:szCs w:val="22"/>
        </w:rPr>
        <w:t xml:space="preserve"> transferů – </w:t>
      </w:r>
      <w:r>
        <w:rPr>
          <w:rFonts w:ascii="Calibri" w:hAnsi="Calibri" w:cs="Arial"/>
          <w:sz w:val="22"/>
          <w:szCs w:val="22"/>
        </w:rPr>
        <w:t xml:space="preserve">prostředky ÚSC činily Kč </w:t>
      </w:r>
      <w:r w:rsidR="00811B3F">
        <w:rPr>
          <w:rFonts w:ascii="Calibri" w:hAnsi="Calibri" w:cs="Arial"/>
          <w:sz w:val="22"/>
          <w:szCs w:val="22"/>
        </w:rPr>
        <w:t>211 094,</w:t>
      </w:r>
      <w:r>
        <w:rPr>
          <w:rFonts w:ascii="Calibri" w:hAnsi="Calibri" w:cs="Arial"/>
          <w:sz w:val="22"/>
          <w:szCs w:val="22"/>
        </w:rPr>
        <w:t>00</w:t>
      </w:r>
      <w:r w:rsidRPr="00493C98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Výnosy z vlastních výkonů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EB64DB">
        <w:rPr>
          <w:rFonts w:ascii="Calibri" w:hAnsi="Calibri" w:cs="Arial"/>
          <w:sz w:val="22"/>
          <w:szCs w:val="22"/>
        </w:rPr>
        <w:t>představovaly celkovou částku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</w:t>
      </w:r>
      <w:r w:rsidR="00811B3F">
        <w:rPr>
          <w:rFonts w:ascii="Calibri" w:hAnsi="Calibri" w:cs="Arial"/>
          <w:sz w:val="22"/>
          <w:szCs w:val="22"/>
        </w:rPr>
        <w:t>5 844 707</w:t>
      </w:r>
      <w:r>
        <w:rPr>
          <w:rFonts w:ascii="Calibri" w:hAnsi="Calibri" w:cs="Arial"/>
          <w:sz w:val="22"/>
          <w:szCs w:val="22"/>
        </w:rPr>
        <w:t>,00.</w:t>
      </w:r>
      <w:r w:rsidRPr="00493C98">
        <w:rPr>
          <w:rFonts w:ascii="Calibri" w:hAnsi="Calibri" w:cs="Arial"/>
          <w:sz w:val="22"/>
          <w:szCs w:val="22"/>
        </w:rPr>
        <w:t xml:space="preserve">  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Výnosy byly plněny na</w:t>
      </w:r>
      <w:r w:rsidR="00811B3F">
        <w:rPr>
          <w:rFonts w:ascii="Calibri" w:hAnsi="Calibri" w:cs="Arial"/>
          <w:sz w:val="22"/>
          <w:szCs w:val="22"/>
        </w:rPr>
        <w:t xml:space="preserve"> 95,81 </w:t>
      </w:r>
      <w:r w:rsidRPr="00493C98">
        <w:rPr>
          <w:rFonts w:ascii="Calibri" w:hAnsi="Calibri" w:cs="Arial"/>
          <w:sz w:val="22"/>
          <w:szCs w:val="22"/>
        </w:rPr>
        <w:t>%,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tj. o Kč</w:t>
      </w:r>
      <w:r w:rsidR="00811B3F">
        <w:rPr>
          <w:rFonts w:ascii="Calibri" w:hAnsi="Calibri" w:cs="Arial"/>
          <w:sz w:val="22"/>
          <w:szCs w:val="22"/>
        </w:rPr>
        <w:t xml:space="preserve"> 267 905</w:t>
      </w:r>
      <w:r>
        <w:rPr>
          <w:rFonts w:ascii="Calibri" w:hAnsi="Calibri" w:cs="Arial"/>
          <w:sz w:val="22"/>
          <w:szCs w:val="22"/>
        </w:rPr>
        <w:t xml:space="preserve">,00 </w:t>
      </w:r>
      <w:r w:rsidRPr="00493C98">
        <w:rPr>
          <w:rFonts w:ascii="Calibri" w:hAnsi="Calibri" w:cs="Arial"/>
          <w:sz w:val="22"/>
          <w:szCs w:val="22"/>
        </w:rPr>
        <w:t xml:space="preserve">méně než bylo v upraveném rozpočtu plánováno. </w:t>
      </w:r>
      <w:r w:rsidR="00EB64DB">
        <w:rPr>
          <w:rFonts w:ascii="Calibri" w:hAnsi="Calibri" w:cs="Arial"/>
          <w:sz w:val="22"/>
          <w:szCs w:val="22"/>
        </w:rPr>
        <w:t xml:space="preserve">Přehled dosaženého plnění u jednotlivých položek je patrný z výše uvedené tabulky. 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C305A9" w:rsidRPr="003D6CAA" w:rsidRDefault="00C305A9" w:rsidP="003D6CAA">
      <w:pPr>
        <w:pStyle w:val="Odstavecseseznamem"/>
        <w:ind w:left="0"/>
        <w:jc w:val="both"/>
        <w:rPr>
          <w:rFonts w:ascii="Calibri" w:hAnsi="Calibri" w:cs="Arial"/>
          <w:sz w:val="22"/>
          <w:szCs w:val="22"/>
          <w:lang w:val="cs-CZ"/>
        </w:rPr>
      </w:pPr>
      <w:r w:rsidRPr="003D6CAA">
        <w:rPr>
          <w:rFonts w:ascii="Calibri" w:hAnsi="Calibri" w:cs="Arial"/>
          <w:sz w:val="22"/>
          <w:szCs w:val="22"/>
          <w:lang w:val="cs-CZ"/>
        </w:rPr>
        <w:t xml:space="preserve">Na účtu </w:t>
      </w:r>
      <w:r w:rsidRPr="003D6CAA">
        <w:rPr>
          <w:rFonts w:ascii="Calibri" w:hAnsi="Calibri" w:cs="Arial"/>
          <w:sz w:val="22"/>
          <w:szCs w:val="22"/>
        </w:rPr>
        <w:t>381</w:t>
      </w:r>
      <w:r w:rsidRPr="003D6CAA">
        <w:rPr>
          <w:rFonts w:ascii="Calibri" w:hAnsi="Calibri" w:cs="Arial"/>
          <w:sz w:val="22"/>
          <w:szCs w:val="22"/>
          <w:lang w:val="cs-CZ"/>
        </w:rPr>
        <w:t xml:space="preserve"> byla zaúčtována částka Kč 10 380,</w:t>
      </w:r>
      <w:r w:rsidRPr="003D6CAA">
        <w:rPr>
          <w:rFonts w:ascii="Calibri" w:hAnsi="Calibri" w:cs="Arial"/>
          <w:sz w:val="22"/>
          <w:szCs w:val="22"/>
        </w:rPr>
        <w:t>10</w:t>
      </w:r>
      <w:r w:rsidRPr="003D6CAA">
        <w:rPr>
          <w:rFonts w:ascii="Calibri" w:hAnsi="Calibri" w:cs="Arial"/>
          <w:sz w:val="22"/>
          <w:szCs w:val="22"/>
          <w:lang w:val="cs-CZ"/>
        </w:rPr>
        <w:t xml:space="preserve"> – jedná se o roční udržovací poplatky fy GORDIC. </w:t>
      </w:r>
    </w:p>
    <w:p w:rsidR="00C305A9" w:rsidRPr="003D6CAA" w:rsidRDefault="00C305A9" w:rsidP="003D6CAA">
      <w:pPr>
        <w:jc w:val="both"/>
        <w:rPr>
          <w:rFonts w:ascii="Calibri" w:hAnsi="Calibri" w:cs="Arial"/>
          <w:sz w:val="22"/>
          <w:szCs w:val="22"/>
        </w:rPr>
      </w:pPr>
      <w:r w:rsidRPr="003D6CAA">
        <w:rPr>
          <w:rFonts w:ascii="Calibri" w:hAnsi="Calibri" w:cs="Arial"/>
          <w:sz w:val="22"/>
          <w:szCs w:val="22"/>
        </w:rPr>
        <w:t>Účet 384 byl v roce 2016 použit</w:t>
      </w:r>
      <w:r w:rsidRPr="003D6CAA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3D6CAA">
        <w:rPr>
          <w:rFonts w:ascii="Calibri" w:hAnsi="Calibri" w:cs="Arial"/>
          <w:sz w:val="22"/>
          <w:szCs w:val="22"/>
        </w:rPr>
        <w:t>ve výši Kč 788 949,00 - jedná se o zaplacené finančních prostředky podle fakturace plavání v 1. pololetí školního roku 2016/2017 a zaplacených kroužků dětí a dospělých za celé první pololetí roku 2016/2017. Tyto finanční prostředky budou zúčtovány v lednu 2017.</w:t>
      </w:r>
    </w:p>
    <w:p w:rsidR="005A5111" w:rsidRPr="00493C98" w:rsidRDefault="005A5111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4A874806" wp14:editId="42E2F787">
                <wp:extent cx="6126480" cy="933450"/>
                <wp:effectExtent l="0" t="0" r="7620" b="0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9334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Náklady vykazují v některých položkách nižšího čerpání</w:t>
                            </w:r>
                            <w:r w:rsidR="00BD117E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než bylo plánováno, čímž došlo k úspoře rozpočtu nákladů. Organizace také nenaplnila výnosovou stránku rozpočtu</w:t>
                            </w:r>
                            <w:r w:rsidR="005A5111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zároveň 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vytvořila v hlavní činnosti výsledek hospodaření ve výši Kč </w:t>
                            </w:r>
                            <w:r w:rsidR="00BD117E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130,62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74806" id="Text Box 9" o:spid="_x0000_s1027" type="#_x0000_t202" style="width:482.4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Náklady vykazují v některých položkách nižšího čerpání</w:t>
                      </w:r>
                      <w:r w:rsidR="00BD117E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než bylo plánováno, čímž došlo k úspoře rozpočtu nákladů. Organizace také nenaplnila výnosovou stránku rozpočtu</w:t>
                      </w:r>
                      <w:r w:rsidR="005A5111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a zároveň 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vytvořila v hlavní činnosti výsledek hospodaření ve výši Kč </w:t>
                      </w:r>
                      <w:r w:rsidR="00BD117E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130,62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33CE8">
        <w:rPr>
          <w:rFonts w:ascii="Calibri" w:hAnsi="Calibri" w:cs="Arial"/>
          <w:b/>
          <w:smallCaps/>
          <w:color w:val="1F497D"/>
          <w:sz w:val="28"/>
          <w:szCs w:val="28"/>
        </w:rPr>
        <w:t>3. Vyhodnocení doplňkové činnosti</w:t>
      </w:r>
    </w:p>
    <w:p w:rsidR="00BD117E" w:rsidRPr="00533CE8" w:rsidRDefault="00BD117E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BD117E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BD117E">
        <w:rPr>
          <w:noProof/>
        </w:rPr>
        <w:drawing>
          <wp:inline distT="0" distB="0" distL="0" distR="0">
            <wp:extent cx="5759450" cy="2265092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6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BD117E" w:rsidRPr="00493C98" w:rsidRDefault="00BD117E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doplňkové činnosti organizace provozuje činnosti uvedené v přiložené tabulce. Plánované náklady na rok </w:t>
      </w:r>
      <w:r w:rsidR="0026324A">
        <w:rPr>
          <w:rFonts w:ascii="Calibri" w:hAnsi="Calibri" w:cs="Arial"/>
          <w:sz w:val="22"/>
          <w:szCs w:val="22"/>
        </w:rPr>
        <w:t>2016</w:t>
      </w:r>
      <w:r w:rsidRPr="00493C98">
        <w:rPr>
          <w:rFonts w:ascii="Calibri" w:hAnsi="Calibri" w:cs="Arial"/>
          <w:sz w:val="22"/>
          <w:szCs w:val="22"/>
        </w:rPr>
        <w:t xml:space="preserve"> byly ve výši Kč </w:t>
      </w:r>
      <w:r w:rsidR="00BD117E">
        <w:rPr>
          <w:rFonts w:ascii="Calibri" w:hAnsi="Calibri" w:cs="Arial"/>
          <w:sz w:val="22"/>
          <w:szCs w:val="22"/>
        </w:rPr>
        <w:t>4 088 000</w:t>
      </w:r>
      <w:r w:rsidRPr="00493C98">
        <w:rPr>
          <w:rFonts w:ascii="Calibri" w:hAnsi="Calibri" w:cs="Arial"/>
          <w:sz w:val="22"/>
          <w:szCs w:val="22"/>
        </w:rPr>
        <w:t xml:space="preserve">,00, plánované výnosy byly ve výši Kč </w:t>
      </w:r>
      <w:r w:rsidR="00BD117E">
        <w:rPr>
          <w:rFonts w:ascii="Calibri" w:hAnsi="Calibri" w:cs="Arial"/>
          <w:sz w:val="22"/>
          <w:szCs w:val="22"/>
        </w:rPr>
        <w:t>4 088 000</w:t>
      </w:r>
      <w:r w:rsidRPr="00493C98">
        <w:rPr>
          <w:rFonts w:ascii="Calibri" w:hAnsi="Calibri" w:cs="Arial"/>
          <w:sz w:val="22"/>
          <w:szCs w:val="22"/>
        </w:rPr>
        <w:t xml:space="preserve">,00. Skutečné výnosy dosáhly částky Kč </w:t>
      </w:r>
      <w:r w:rsidR="00BD117E">
        <w:rPr>
          <w:rFonts w:ascii="Calibri" w:hAnsi="Calibri" w:cs="Arial"/>
          <w:sz w:val="22"/>
          <w:szCs w:val="22"/>
        </w:rPr>
        <w:t>4 337 208</w:t>
      </w:r>
      <w:r w:rsidRPr="00493C98">
        <w:rPr>
          <w:rFonts w:ascii="Calibri" w:hAnsi="Calibri" w:cs="Arial"/>
          <w:sz w:val="22"/>
          <w:szCs w:val="22"/>
        </w:rPr>
        <w:t xml:space="preserve">,00 a skutečné náklady </w:t>
      </w:r>
      <w:r w:rsidR="00EB64DB">
        <w:rPr>
          <w:rFonts w:ascii="Calibri" w:hAnsi="Calibri" w:cs="Arial"/>
          <w:sz w:val="22"/>
          <w:szCs w:val="22"/>
        </w:rPr>
        <w:t>byly</w:t>
      </w:r>
      <w:r w:rsidRPr="00493C98">
        <w:rPr>
          <w:rFonts w:ascii="Calibri" w:hAnsi="Calibri" w:cs="Arial"/>
          <w:sz w:val="22"/>
          <w:szCs w:val="22"/>
        </w:rPr>
        <w:t xml:space="preserve"> Kč </w:t>
      </w:r>
      <w:r w:rsidR="00BD117E">
        <w:rPr>
          <w:rFonts w:ascii="Calibri" w:hAnsi="Calibri" w:cs="Arial"/>
          <w:sz w:val="22"/>
          <w:szCs w:val="22"/>
        </w:rPr>
        <w:t>4 062 212,52</w:t>
      </w:r>
      <w:r w:rsidRPr="00493C98">
        <w:rPr>
          <w:rFonts w:ascii="Calibri" w:hAnsi="Calibri" w:cs="Arial"/>
          <w:sz w:val="22"/>
          <w:szCs w:val="22"/>
        </w:rPr>
        <w:t>. Zisk z doplňkové činnosti byl vykázán v</w:t>
      </w:r>
      <w:r w:rsidR="00EB64DB">
        <w:rPr>
          <w:rFonts w:ascii="Calibri" w:hAnsi="Calibri" w:cs="Arial"/>
          <w:sz w:val="22"/>
          <w:szCs w:val="22"/>
        </w:rPr>
        <w:t xml:space="preserve"> celkové</w:t>
      </w:r>
      <w:r w:rsidRPr="00493C98">
        <w:rPr>
          <w:rFonts w:ascii="Calibri" w:hAnsi="Calibri" w:cs="Arial"/>
          <w:sz w:val="22"/>
          <w:szCs w:val="22"/>
        </w:rPr>
        <w:t xml:space="preserve"> výši Kč </w:t>
      </w:r>
      <w:r w:rsidR="00BD117E">
        <w:rPr>
          <w:rFonts w:ascii="Calibri" w:hAnsi="Calibri" w:cs="Arial"/>
          <w:sz w:val="22"/>
          <w:szCs w:val="22"/>
        </w:rPr>
        <w:t>274 995,48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BD117E" w:rsidRPr="00493C98" w:rsidRDefault="00BD117E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BF4A365" wp14:editId="432D0CB8">
                <wp:extent cx="6057900" cy="866775"/>
                <wp:effectExtent l="0" t="0" r="0" b="9525"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667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Doplňková činnost je provozována se ziskem. Výsledek hospodaření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75C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274 995,48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bude využit ve prospěch hlavní činnosti.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Rentabilita nákladů doplňkové činnosti </w:t>
                            </w:r>
                            <w:r w:rsidR="00AA75C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F4A365" id="Text Box 8" o:spid="_x0000_s1028" type="#_x0000_t202" style="width:477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Doplňková činnost je provozována se ziskem. Výsledek hospodaření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A75C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274 995,48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bude využit ve prospěch hlavní činnosti.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Rentabilita nákladů doplňkové činnosti </w:t>
                      </w:r>
                      <w:r w:rsidR="00AA75C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%.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4. Vyhodnocení dosaženého výsledku hospodaření za rok </w:t>
      </w:r>
      <w:r w:rsidR="0026324A">
        <w:rPr>
          <w:rFonts w:ascii="Calibri" w:hAnsi="Calibri" w:cs="Arial"/>
          <w:b/>
          <w:smallCaps/>
          <w:color w:val="1F497D"/>
          <w:sz w:val="28"/>
          <w:szCs w:val="28"/>
        </w:rPr>
        <w:t>2016</w:t>
      </w:r>
    </w:p>
    <w:p w:rsidR="00AA75C2" w:rsidRDefault="00AA75C2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Výsledek hospodaření za rok </w:t>
      </w:r>
      <w:r w:rsidR="0026324A">
        <w:rPr>
          <w:rFonts w:ascii="Calibri" w:hAnsi="Calibri" w:cs="Arial"/>
          <w:sz w:val="22"/>
          <w:szCs w:val="22"/>
        </w:rPr>
        <w:t>2016</w:t>
      </w:r>
      <w:r w:rsidRPr="00493C98">
        <w:rPr>
          <w:rFonts w:ascii="Calibri" w:hAnsi="Calibri" w:cs="Arial"/>
          <w:sz w:val="22"/>
          <w:szCs w:val="22"/>
        </w:rPr>
        <w:t xml:space="preserve"> vykazuje organizace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AA75C2">
        <w:rPr>
          <w:rFonts w:ascii="Calibri" w:hAnsi="Calibri" w:cs="Arial"/>
          <w:sz w:val="22"/>
          <w:szCs w:val="22"/>
        </w:rPr>
        <w:t>275 126,10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>
        <w:rPr>
          <w:rFonts w:ascii="Calibri" w:hAnsi="Calibri" w:cs="Arial"/>
          <w:sz w:val="22"/>
          <w:szCs w:val="22"/>
        </w:rPr>
        <w:t>z hlavní</w:t>
      </w:r>
      <w:r w:rsidRPr="00493C98">
        <w:rPr>
          <w:rFonts w:ascii="Calibri" w:hAnsi="Calibri" w:cs="Arial"/>
          <w:sz w:val="22"/>
          <w:szCs w:val="22"/>
        </w:rPr>
        <w:t xml:space="preserve"> činnosti Kč</w:t>
      </w:r>
      <w:r>
        <w:rPr>
          <w:rFonts w:ascii="Calibri" w:hAnsi="Calibri" w:cs="Arial"/>
          <w:sz w:val="22"/>
          <w:szCs w:val="22"/>
        </w:rPr>
        <w:t xml:space="preserve"> </w:t>
      </w:r>
      <w:r w:rsidR="00AA75C2">
        <w:rPr>
          <w:rFonts w:ascii="Calibri" w:hAnsi="Calibri" w:cs="Arial"/>
          <w:sz w:val="22"/>
          <w:szCs w:val="22"/>
        </w:rPr>
        <w:t>130,62</w:t>
      </w:r>
      <w:r w:rsidRPr="00493C98"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sz w:val="22"/>
          <w:szCs w:val="22"/>
        </w:rPr>
        <w:t>z doplňkové</w:t>
      </w:r>
      <w:r w:rsidRPr="00493C98">
        <w:rPr>
          <w:rFonts w:ascii="Calibri" w:hAnsi="Calibri" w:cs="Arial"/>
          <w:sz w:val="22"/>
          <w:szCs w:val="22"/>
        </w:rPr>
        <w:t xml:space="preserve"> činnosti Kč</w:t>
      </w:r>
      <w:r>
        <w:rPr>
          <w:rFonts w:ascii="Calibri" w:hAnsi="Calibri" w:cs="Arial"/>
          <w:sz w:val="22"/>
          <w:szCs w:val="22"/>
        </w:rPr>
        <w:t xml:space="preserve"> </w:t>
      </w:r>
      <w:r w:rsidR="00AA75C2">
        <w:rPr>
          <w:rFonts w:ascii="Calibri" w:hAnsi="Calibri" w:cs="Arial"/>
          <w:sz w:val="22"/>
          <w:szCs w:val="22"/>
        </w:rPr>
        <w:t>274 995,48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souladu s § </w:t>
      </w:r>
      <w:smartTag w:uri="urn:schemas-microsoft-com:office:smarttags" w:element="metricconverter">
        <w:smartTagPr>
          <w:attr w:name="ProductID" w:val="30 a"/>
        </w:smartTagPr>
        <w:r w:rsidRPr="00493C98">
          <w:rPr>
            <w:rFonts w:ascii="Calibri" w:hAnsi="Calibri" w:cs="Arial"/>
            <w:sz w:val="22"/>
            <w:szCs w:val="22"/>
          </w:rPr>
          <w:t>30 a</w:t>
        </w:r>
      </w:smartTag>
      <w:r w:rsidRPr="00493C98">
        <w:rPr>
          <w:rFonts w:ascii="Calibri" w:hAnsi="Calibri" w:cs="Arial"/>
          <w:sz w:val="22"/>
          <w:szCs w:val="22"/>
        </w:rPr>
        <w:t xml:space="preserve"> 32 zákona č. 250/2000 Sb., o rozpočtových pravidlech územních rozpočtů, ve znění pozdějších předpisů </w:t>
      </w:r>
      <w:proofErr w:type="gramStart"/>
      <w:r w:rsidRPr="00493C98">
        <w:rPr>
          <w:rFonts w:ascii="Calibri" w:hAnsi="Calibri" w:cs="Arial"/>
          <w:sz w:val="22"/>
          <w:szCs w:val="22"/>
        </w:rPr>
        <w:t>organizace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b/>
          <w:i/>
          <w:sz w:val="22"/>
          <w:szCs w:val="22"/>
        </w:rPr>
        <w:t>n a v r h u j e</w:t>
      </w:r>
      <w:r w:rsidRPr="00493C98">
        <w:rPr>
          <w:rFonts w:ascii="Calibri" w:hAnsi="Calibri" w:cs="Arial"/>
          <w:sz w:val="22"/>
          <w:szCs w:val="22"/>
        </w:rPr>
        <w:t xml:space="preserve">  v případě</w:t>
      </w:r>
      <w:proofErr w:type="gramEnd"/>
      <w:r w:rsidRPr="00493C98">
        <w:rPr>
          <w:rFonts w:ascii="Calibri" w:hAnsi="Calibri" w:cs="Arial"/>
          <w:sz w:val="22"/>
          <w:szCs w:val="22"/>
        </w:rPr>
        <w:t xml:space="preserve"> schválení výsledku hospodaření za rok </w:t>
      </w:r>
      <w:r w:rsidR="0026324A">
        <w:rPr>
          <w:rFonts w:ascii="Calibri" w:hAnsi="Calibri" w:cs="Arial"/>
          <w:sz w:val="22"/>
          <w:szCs w:val="22"/>
        </w:rPr>
        <w:t>2016</w:t>
      </w:r>
      <w:r w:rsidRPr="00493C98">
        <w:rPr>
          <w:rFonts w:ascii="Calibri" w:hAnsi="Calibri" w:cs="Arial"/>
          <w:sz w:val="22"/>
          <w:szCs w:val="22"/>
        </w:rPr>
        <w:t>, přidělení zlepšeného výsledku hospodaření ve výši: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FE7F9B" w:rsidRDefault="009A3ABC" w:rsidP="009A3ABC">
      <w:pPr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   </w:t>
      </w:r>
      <w:r w:rsidR="003541B7">
        <w:rPr>
          <w:rFonts w:ascii="Calibri" w:hAnsi="Calibri" w:cs="Arial"/>
          <w:b/>
          <w:sz w:val="22"/>
          <w:szCs w:val="22"/>
        </w:rPr>
        <w:t>224 126</w:t>
      </w:r>
      <w:r w:rsidRPr="00FE7F9B">
        <w:rPr>
          <w:rFonts w:ascii="Calibri" w:hAnsi="Calibri" w:cs="Arial"/>
          <w:b/>
          <w:sz w:val="22"/>
          <w:szCs w:val="22"/>
        </w:rPr>
        <w:t>,00</w:t>
      </w:r>
      <w:proofErr w:type="gramEnd"/>
      <w:r w:rsidRPr="00FE7F9B">
        <w:rPr>
          <w:rFonts w:ascii="Calibri" w:hAnsi="Calibri" w:cs="Arial"/>
          <w:b/>
          <w:sz w:val="22"/>
          <w:szCs w:val="22"/>
        </w:rPr>
        <w:t xml:space="preserve"> do </w:t>
      </w:r>
      <w:r w:rsidRPr="00FE7F9B">
        <w:rPr>
          <w:rFonts w:ascii="Calibri" w:hAnsi="Calibri" w:cs="Arial"/>
          <w:b/>
          <w:sz w:val="22"/>
          <w:szCs w:val="22"/>
          <w:u w:val="single"/>
        </w:rPr>
        <w:t>fondu odměn</w:t>
      </w:r>
      <w:r w:rsidRPr="00FE7F9B">
        <w:rPr>
          <w:rFonts w:ascii="Calibri" w:hAnsi="Calibri" w:cs="Arial"/>
          <w:b/>
          <w:sz w:val="22"/>
          <w:szCs w:val="22"/>
        </w:rPr>
        <w:t>;</w:t>
      </w:r>
    </w:p>
    <w:p w:rsidR="009A3ABC" w:rsidRPr="00493C98" w:rsidRDefault="009A3ABC" w:rsidP="009A3AB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3541B7"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3541B7">
        <w:rPr>
          <w:rFonts w:ascii="Calibri" w:hAnsi="Calibri" w:cs="Arial"/>
          <w:b/>
          <w:sz w:val="22"/>
          <w:szCs w:val="22"/>
        </w:rPr>
        <w:t>51 000</w:t>
      </w:r>
      <w:r>
        <w:rPr>
          <w:rFonts w:ascii="Calibri" w:hAnsi="Calibri" w:cs="Arial"/>
          <w:b/>
          <w:sz w:val="22"/>
          <w:szCs w:val="22"/>
        </w:rPr>
        <w:t>,00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</w:t>
      </w:r>
      <w:r w:rsidRPr="00FE7F9B">
        <w:rPr>
          <w:rFonts w:ascii="Calibri" w:hAnsi="Calibri" w:cs="Arial"/>
          <w:b/>
          <w:sz w:val="22"/>
          <w:szCs w:val="22"/>
        </w:rPr>
        <w:t xml:space="preserve">do </w:t>
      </w:r>
      <w:r w:rsidRPr="00FE7F9B">
        <w:rPr>
          <w:rFonts w:ascii="Calibri" w:hAnsi="Calibri" w:cs="Arial"/>
          <w:b/>
          <w:sz w:val="22"/>
          <w:szCs w:val="22"/>
          <w:u w:val="single"/>
        </w:rPr>
        <w:t>rez</w:t>
      </w:r>
      <w:r w:rsidRPr="00493C98">
        <w:rPr>
          <w:rFonts w:ascii="Calibri" w:hAnsi="Calibri" w:cs="Arial"/>
          <w:b/>
          <w:sz w:val="22"/>
          <w:szCs w:val="22"/>
          <w:u w:val="single"/>
        </w:rPr>
        <w:t>ervního fondu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45A3843" wp14:editId="442D465F">
                <wp:extent cx="6172200" cy="2072005"/>
                <wp:effectExtent l="0" t="0" r="0" b="4445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720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Organizace vykázala celkový zlepšený výsledek hospodaření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41B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275 126,10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zisk je vykazován v hlavní i doplňkové činnosti. Na základě rozhodnutí zřizovatele byl původní návrh organizace na rozdělení zlepšeného výsledku hospodaření dosaž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eného za hodnocený rok upraven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tímto způsobem: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A3ABC" w:rsidRPr="00090BE4" w:rsidRDefault="009A3ABC" w:rsidP="009A3AB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Kč   </w:t>
                            </w:r>
                            <w:r w:rsidR="003541B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54 000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  <w:proofErr w:type="gramEnd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 fondu odměn;</w:t>
                            </w:r>
                          </w:p>
                          <w:p w:rsidR="009A3ABC" w:rsidRPr="00090BE4" w:rsidRDefault="009A3ABC" w:rsidP="009A3AB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Kč   </w:t>
                            </w:r>
                            <w:r w:rsidR="003541B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221 126,10</w:t>
                            </w:r>
                            <w:proofErr w:type="gramEnd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 rezervního fondu.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A3ABC" w:rsidRPr="00BF524A" w:rsidRDefault="009A3ABC" w:rsidP="009A3ABC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Po přídělu výsledku hospodaření do rezervního fondu, který bude pak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41B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226 959,93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doporučujeme organizaci zapojit finanční prostředky do provozu nebo posílit </w:t>
                            </w:r>
                            <w:r w:rsidR="00574D8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fond investic.</w:t>
                            </w:r>
                          </w:p>
                          <w:p w:rsidR="009A3ABC" w:rsidRDefault="009A3ABC" w:rsidP="009A3ABC"/>
                          <w:p w:rsidR="009A3ABC" w:rsidRDefault="009A3ABC" w:rsidP="009A3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A3843" id="Text Box 7" o:spid="_x0000_s1029" type="#_x0000_t202" style="width:486pt;height:1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" fillcolor="#cfc" stroked="f">
                <v:textbox>
                  <w:txbxContent>
                    <w:p w:rsidR="009A3ABC" w:rsidRPr="00090BE4" w:rsidRDefault="009A3ABC" w:rsidP="009A3ABC">
                      <w:pPr>
                        <w:rPr>
                          <w:rFonts w:ascii="Calibri" w:hAnsi="Calibri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Organizace vykázala celkový zlepšený výsledek hospodaření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541B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275 126,10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zisk je vykazován v hlavní i doplňkové činnosti. Na základě rozhodnutí zřizovatele byl původní návrh organizace na rozdělení zlepšeného výsledku hospodaření dosaž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eného za hodnocený rok upraven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tímto způsobem: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9A3ABC" w:rsidRPr="00090BE4" w:rsidRDefault="009A3ABC" w:rsidP="009A3AB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Kč   </w:t>
                      </w:r>
                      <w:r w:rsidR="003541B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54 000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 fondu odměn;</w:t>
                      </w:r>
                    </w:p>
                    <w:p w:rsidR="009A3ABC" w:rsidRPr="00090BE4" w:rsidRDefault="009A3ABC" w:rsidP="009A3AB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Kč   </w:t>
                      </w:r>
                      <w:r w:rsidR="003541B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221 126,10</w:t>
                      </w:r>
                      <w:proofErr w:type="gramEnd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 rezervního fondu.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9A3ABC" w:rsidRPr="00BF524A" w:rsidRDefault="009A3ABC" w:rsidP="009A3ABC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Po přídělu výsledku hospodaření do rezervního fondu, který bude pak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541B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226 959,93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doporučujeme organizaci zapojit finanční prostředky do provozu nebo posílit </w:t>
                      </w:r>
                      <w:r w:rsidR="00574D8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fond investic.</w:t>
                      </w:r>
                    </w:p>
                    <w:p w:rsidR="009A3ABC" w:rsidRDefault="009A3ABC" w:rsidP="009A3ABC"/>
                    <w:p w:rsidR="009A3ABC" w:rsidRDefault="009A3ABC" w:rsidP="009A3ABC"/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Pr="00587267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5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.  Hospodaření s prostředky peněžních fondů organizace</w:t>
      </w:r>
    </w:p>
    <w:p w:rsidR="009A3ABC" w:rsidRPr="00493C98" w:rsidRDefault="009A3ABC" w:rsidP="009A3ABC">
      <w:pPr>
        <w:rPr>
          <w:rFonts w:ascii="Calibri" w:hAnsi="Calibri" w:cs="Arial"/>
          <w:b/>
          <w:sz w:val="22"/>
          <w:szCs w:val="22"/>
        </w:rPr>
      </w:pPr>
    </w:p>
    <w:p w:rsidR="009A3ABC" w:rsidRPr="00493C98" w:rsidRDefault="00911BE4" w:rsidP="009A3ABC">
      <w:pPr>
        <w:jc w:val="both"/>
        <w:rPr>
          <w:rFonts w:ascii="Calibri" w:hAnsi="Calibri" w:cs="Arial"/>
          <w:color w:val="FF0000"/>
          <w:sz w:val="22"/>
          <w:szCs w:val="22"/>
        </w:rPr>
      </w:pPr>
      <w:r w:rsidRPr="00911BE4">
        <w:rPr>
          <w:noProof/>
        </w:rPr>
        <w:drawing>
          <wp:inline distT="0" distB="0" distL="0" distR="0">
            <wp:extent cx="5759450" cy="191035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11BE4" w:rsidRDefault="00911BE4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5C51B96" wp14:editId="75BFFFE3">
                <wp:extent cx="6126480" cy="1190625"/>
                <wp:effectExtent l="0" t="0" r="7620" b="9525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1906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Fondy byly tvořeny a čerpány v souladu s jejich schválenými a předloženými plány.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K 31. 12. </w:t>
                            </w:r>
                            <w:r w:rsidR="00DB1402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2016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byly uvedené peněžní fondy kryty finančními prostředky bankovních účtů.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Dále byl vykazován rozdíl u FKSP, v souvislosti s proúčtování</w:t>
                            </w:r>
                            <w:r w:rsidR="00757E7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zákonného přídělu a čerpání za měsíc prosinec, které bude skutečně naplněno a kryto až v měsíci lednu 201</w:t>
                            </w:r>
                            <w:r w:rsidR="00DB140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A3ABC" w:rsidRPr="00395CCA" w:rsidRDefault="009A3ABC" w:rsidP="009A3ABC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51B96" id="Text Box 4" o:spid="_x0000_s1030" type="#_x0000_t202" style="width:482.4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Fondy byly tvořeny a čerpány v souladu s jejich schválenými a předloženými plány.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K 31. 12. </w:t>
                      </w:r>
                      <w:r w:rsidR="00DB1402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2016</w:t>
                      </w: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byly uvedené peněžní fondy kryty finančními prostředky bankovních účtů.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Dále byl vykazován rozdíl u FKSP, v souvislosti s proúčtování</w:t>
                      </w:r>
                      <w:r w:rsidR="00757E7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m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zákonného přídělu a čerpání za měsíc prosinec, které bude skutečně naplněno a kryto až v měsíci lednu 201</w:t>
                      </w:r>
                      <w:r w:rsidR="00DB140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7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9A3ABC" w:rsidRPr="00395CCA" w:rsidRDefault="009A3ABC" w:rsidP="009A3ABC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757E70" w:rsidRPr="00493C98" w:rsidRDefault="00757E70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587267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6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.  Přehled pohledávek a závazků organizace</w:t>
      </w:r>
    </w:p>
    <w:p w:rsidR="009A3ABC" w:rsidRPr="00493C98" w:rsidRDefault="009A3ABC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Stav pohledávek </w:t>
      </w:r>
      <w:r w:rsidR="00757E70">
        <w:rPr>
          <w:rFonts w:ascii="Calibri" w:hAnsi="Calibri" w:cs="Arial"/>
          <w:sz w:val="22"/>
          <w:szCs w:val="22"/>
        </w:rPr>
        <w:t xml:space="preserve">příspěvkové </w:t>
      </w:r>
      <w:r w:rsidRPr="00493C98">
        <w:rPr>
          <w:rFonts w:ascii="Calibri" w:hAnsi="Calibri" w:cs="Arial"/>
          <w:sz w:val="22"/>
          <w:szCs w:val="22"/>
        </w:rPr>
        <w:t>organizace</w:t>
      </w:r>
      <w:r w:rsidR="00757E70">
        <w:rPr>
          <w:rFonts w:ascii="Calibri" w:hAnsi="Calibri" w:cs="Arial"/>
          <w:sz w:val="22"/>
          <w:szCs w:val="22"/>
        </w:rPr>
        <w:t xml:space="preserve"> byl</w:t>
      </w:r>
      <w:r w:rsidRPr="00493C98">
        <w:rPr>
          <w:rFonts w:ascii="Calibri" w:hAnsi="Calibri" w:cs="Arial"/>
          <w:sz w:val="22"/>
          <w:szCs w:val="22"/>
        </w:rPr>
        <w:t xml:space="preserve"> k 31. 12. </w:t>
      </w:r>
      <w:r w:rsidR="0026324A">
        <w:rPr>
          <w:rFonts w:ascii="Calibri" w:hAnsi="Calibri" w:cs="Arial"/>
          <w:sz w:val="22"/>
          <w:szCs w:val="22"/>
        </w:rPr>
        <w:t>2016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</w:t>
      </w:r>
      <w:r w:rsidR="005C1097">
        <w:rPr>
          <w:rFonts w:ascii="Calibri" w:hAnsi="Calibri" w:cs="Arial"/>
          <w:sz w:val="22"/>
          <w:szCs w:val="22"/>
        </w:rPr>
        <w:t>28 444,10</w:t>
      </w:r>
      <w:r w:rsidRPr="00493C98">
        <w:rPr>
          <w:rFonts w:ascii="Calibri" w:hAnsi="Calibri" w:cs="Arial"/>
          <w:sz w:val="22"/>
          <w:szCs w:val="22"/>
        </w:rPr>
        <w:t xml:space="preserve">. Organizace vykazuje pohledávky </w:t>
      </w:r>
      <w:r w:rsidR="005C1097">
        <w:rPr>
          <w:rFonts w:ascii="Calibri" w:hAnsi="Calibri" w:cs="Arial"/>
          <w:sz w:val="22"/>
          <w:szCs w:val="22"/>
        </w:rPr>
        <w:t>ve</w:t>
      </w:r>
      <w:r w:rsidRPr="00493C98">
        <w:rPr>
          <w:rFonts w:ascii="Calibri" w:hAnsi="Calibri" w:cs="Arial"/>
          <w:sz w:val="22"/>
          <w:szCs w:val="22"/>
        </w:rPr>
        <w:t xml:space="preserve"> lhůtě splatnosti</w:t>
      </w:r>
      <w:r w:rsidR="005C1097">
        <w:rPr>
          <w:rFonts w:ascii="Calibri" w:hAnsi="Calibri" w:cs="Arial"/>
          <w:sz w:val="22"/>
          <w:szCs w:val="22"/>
        </w:rPr>
        <w:t>, pohledávky</w:t>
      </w:r>
      <w:r w:rsidRPr="00493C98">
        <w:rPr>
          <w:rFonts w:ascii="Calibri" w:hAnsi="Calibri" w:cs="Arial"/>
          <w:sz w:val="22"/>
          <w:szCs w:val="22"/>
        </w:rPr>
        <w:t xml:space="preserve"> po lhůtě splatnosti </w:t>
      </w:r>
      <w:r w:rsidR="005C1097">
        <w:rPr>
          <w:rFonts w:ascii="Calibri" w:hAnsi="Calibri" w:cs="Arial"/>
          <w:sz w:val="22"/>
          <w:szCs w:val="22"/>
        </w:rPr>
        <w:t>ani n</w:t>
      </w:r>
      <w:r w:rsidRPr="00493C98">
        <w:rPr>
          <w:rFonts w:ascii="Calibri" w:hAnsi="Calibri" w:cs="Arial"/>
          <w:sz w:val="22"/>
          <w:szCs w:val="22"/>
        </w:rPr>
        <w:t xml:space="preserve">edobytné pohledávky </w:t>
      </w:r>
      <w:r w:rsidR="005C1097">
        <w:rPr>
          <w:rFonts w:ascii="Calibri" w:hAnsi="Calibri" w:cs="Arial"/>
          <w:sz w:val="22"/>
          <w:szCs w:val="22"/>
        </w:rPr>
        <w:t xml:space="preserve">organizace nemá. </w:t>
      </w:r>
      <w:r w:rsidRPr="00493C98">
        <w:rPr>
          <w:rFonts w:ascii="Calibri" w:hAnsi="Calibri" w:cs="Arial"/>
          <w:sz w:val="22"/>
          <w:szCs w:val="22"/>
        </w:rPr>
        <w:t xml:space="preserve">  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roce </w:t>
      </w:r>
      <w:r w:rsidR="0026324A">
        <w:rPr>
          <w:rFonts w:ascii="Calibri" w:hAnsi="Calibri" w:cs="Arial"/>
          <w:sz w:val="22"/>
          <w:szCs w:val="22"/>
        </w:rPr>
        <w:t>2016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190538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>byl</w:t>
      </w:r>
      <w:r w:rsidR="00645214">
        <w:rPr>
          <w:rFonts w:ascii="Calibri" w:hAnsi="Calibri" w:cs="Arial"/>
          <w:sz w:val="22"/>
          <w:szCs w:val="22"/>
        </w:rPr>
        <w:t>y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645214">
        <w:rPr>
          <w:rFonts w:ascii="Calibri" w:hAnsi="Calibri" w:cs="Arial"/>
          <w:sz w:val="22"/>
          <w:szCs w:val="22"/>
        </w:rPr>
        <w:t>vyřazeny</w:t>
      </w:r>
      <w:r w:rsidRPr="00493C98">
        <w:rPr>
          <w:rFonts w:ascii="Calibri" w:hAnsi="Calibri" w:cs="Arial"/>
          <w:sz w:val="22"/>
          <w:szCs w:val="22"/>
        </w:rPr>
        <w:t xml:space="preserve"> nedobytné pohledávky v souladu s</w:t>
      </w:r>
      <w:r w:rsidR="00645214">
        <w:rPr>
          <w:rFonts w:ascii="Calibri" w:hAnsi="Calibri" w:cs="Arial"/>
          <w:sz w:val="22"/>
          <w:szCs w:val="22"/>
        </w:rPr>
        <w:t>e směrnicí SM/73/02/16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Stav závazků organizace k 31. 12. </w:t>
      </w:r>
      <w:r w:rsidR="0026324A">
        <w:rPr>
          <w:rFonts w:ascii="Calibri" w:hAnsi="Calibri" w:cs="Arial"/>
          <w:sz w:val="22"/>
          <w:szCs w:val="22"/>
        </w:rPr>
        <w:t>2016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757E70">
        <w:rPr>
          <w:rFonts w:ascii="Calibri" w:hAnsi="Calibri" w:cs="Arial"/>
          <w:sz w:val="22"/>
          <w:szCs w:val="22"/>
        </w:rPr>
        <w:t>představoval celkovou částku</w:t>
      </w:r>
      <w:r w:rsidRPr="00493C98">
        <w:rPr>
          <w:rFonts w:ascii="Calibri" w:hAnsi="Calibri" w:cs="Arial"/>
          <w:sz w:val="22"/>
          <w:szCs w:val="22"/>
        </w:rPr>
        <w:t xml:space="preserve"> Kč </w:t>
      </w:r>
      <w:r w:rsidR="005C1097">
        <w:rPr>
          <w:rFonts w:ascii="Calibri" w:hAnsi="Calibri" w:cs="Arial"/>
          <w:sz w:val="22"/>
          <w:szCs w:val="22"/>
        </w:rPr>
        <w:t>1 709 586</w:t>
      </w:r>
      <w:r w:rsidRPr="00493C98">
        <w:rPr>
          <w:rFonts w:ascii="Calibri" w:hAnsi="Calibri" w:cs="Arial"/>
          <w:sz w:val="22"/>
          <w:szCs w:val="22"/>
        </w:rPr>
        <w:t xml:space="preserve">,00 </w:t>
      </w:r>
      <w:r w:rsidR="00757E70">
        <w:rPr>
          <w:rFonts w:ascii="Calibri" w:hAnsi="Calibri" w:cs="Arial"/>
          <w:sz w:val="22"/>
          <w:szCs w:val="22"/>
        </w:rPr>
        <w:t xml:space="preserve">a </w:t>
      </w:r>
      <w:r w:rsidRPr="00493C98">
        <w:rPr>
          <w:rFonts w:ascii="Calibri" w:hAnsi="Calibri" w:cs="Arial"/>
          <w:sz w:val="22"/>
          <w:szCs w:val="22"/>
        </w:rPr>
        <w:t xml:space="preserve">všechny byly ve lhůtě splatnosti. 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5AB4416" wp14:editId="265FDEB4">
                <wp:extent cx="6217920" cy="1171575"/>
                <wp:effectExtent l="0" t="0" r="0" b="952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1715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587267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</w:rPr>
                              <w:t>Stanovisko odboru:</w:t>
                            </w:r>
                          </w:p>
                          <w:p w:rsidR="009A3ABC" w:rsidRPr="00587267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Pohledávky a závazky organizace souhlasí se stavem v rozvaze ke dni 31. 12. </w:t>
                            </w:r>
                            <w:r w:rsidR="0026324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2016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Dle předloženého soupisu se jedná o pohledávky </w:t>
                            </w:r>
                            <w:r w:rsidR="005C109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závazky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ve lhůtě splatnosti, nedobytn</w:t>
                            </w:r>
                            <w:r w:rsidR="005C109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é pohledávky organizace nemá.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inanční prostředk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provozním bankovním účtu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pokladní hotovost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zohlednění zaplacení pohledávek 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dostatečně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zajišťují finanční krytí závazků organizace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B4416" id="Text Box 3" o:spid="_x0000_s1031" type="#_x0000_t202" style="width:489.6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" fillcolor="#cfc" stroked="f">
                <v:textbox>
                  <w:txbxContent>
                    <w:p w:rsidR="009A3ABC" w:rsidRPr="00587267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</w:rPr>
                        <w:t>Stanovisko odboru:</w:t>
                      </w:r>
                    </w:p>
                    <w:p w:rsidR="009A3ABC" w:rsidRPr="00587267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Pohledávky a závazky organizace souhlasí se stavem v rozvaze ke dni 31. 12. </w:t>
                      </w:r>
                      <w:r w:rsidR="0026324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2016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. Dle předloženého soupisu se jedná o pohledávky </w:t>
                      </w:r>
                      <w:r w:rsidR="005C109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i závazky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ve lhůtě splatnosti, nedobytn</w:t>
                      </w:r>
                      <w:r w:rsidR="005C109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é pohledávky organizace nemá.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inanční prostředk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na 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provozním bankovním účtu</w:t>
                      </w:r>
                      <w:r w:rsidR="005A511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pokladní hotovost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a zohlednění zaplacení pohledávek 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dostatečně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zajišťují finanční krytí závazků organizace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9A3ABC" w:rsidRPr="00493C98" w:rsidTr="007B2E16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A3ABC" w:rsidRDefault="009A3ABC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7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Základní ekonomické ukazatele</w:t>
      </w:r>
    </w:p>
    <w:p w:rsidR="009A3ABC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5C1097" w:rsidRPr="00507A91" w:rsidRDefault="005C1097" w:rsidP="005C1097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D738F4">
        <w:rPr>
          <w:rFonts w:ascii="Calibri" w:hAnsi="Calibri"/>
          <w:noProof/>
          <w:sz w:val="22"/>
          <w:szCs w:val="22"/>
        </w:rPr>
        <w:t>Plaveck</w:t>
      </w:r>
      <w:r>
        <w:rPr>
          <w:rFonts w:ascii="Calibri" w:hAnsi="Calibri"/>
          <w:noProof/>
          <w:sz w:val="22"/>
          <w:szCs w:val="22"/>
        </w:rPr>
        <w:t>á</w:t>
      </w:r>
      <w:r w:rsidRPr="00D738F4">
        <w:rPr>
          <w:rFonts w:ascii="Calibri" w:hAnsi="Calibri"/>
          <w:noProof/>
          <w:sz w:val="22"/>
          <w:szCs w:val="22"/>
        </w:rPr>
        <w:t xml:space="preserve"> škol</w:t>
      </w:r>
      <w:r>
        <w:rPr>
          <w:rFonts w:ascii="Calibri" w:hAnsi="Calibri"/>
          <w:noProof/>
          <w:sz w:val="22"/>
          <w:szCs w:val="22"/>
        </w:rPr>
        <w:t>a Uherské Hradiště</w:t>
      </w:r>
      <w:r w:rsidRPr="00D738F4">
        <w:rPr>
          <w:rFonts w:ascii="Calibri" w:hAnsi="Calibri"/>
          <w:noProof/>
          <w:sz w:val="22"/>
          <w:szCs w:val="22"/>
        </w:rPr>
        <w:t xml:space="preserve"> tabulku neinvestiční nák</w:t>
      </w:r>
      <w:r>
        <w:rPr>
          <w:rFonts w:ascii="Calibri" w:hAnsi="Calibri"/>
          <w:noProof/>
          <w:sz w:val="22"/>
          <w:szCs w:val="22"/>
        </w:rPr>
        <w:t>la</w:t>
      </w:r>
      <w:r w:rsidRPr="00D738F4">
        <w:rPr>
          <w:rFonts w:ascii="Calibri" w:hAnsi="Calibri"/>
          <w:noProof/>
          <w:sz w:val="22"/>
          <w:szCs w:val="22"/>
        </w:rPr>
        <w:t>dy na žáka nevyplňuj</w:t>
      </w:r>
      <w:r>
        <w:rPr>
          <w:rFonts w:ascii="Calibri" w:hAnsi="Calibri"/>
          <w:noProof/>
          <w:sz w:val="22"/>
          <w:szCs w:val="22"/>
        </w:rPr>
        <w:t>e.</w:t>
      </w:r>
    </w:p>
    <w:p w:rsidR="00967638" w:rsidRDefault="00967638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5C1097" w:rsidRDefault="005C1097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9A3ABC" w:rsidRPr="00507A91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8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Celkové hodnocení organizace</w:t>
      </w:r>
    </w:p>
    <w:p w:rsidR="009A3ABC" w:rsidRPr="00493C98" w:rsidRDefault="009A3ABC" w:rsidP="009A3ABC">
      <w:pPr>
        <w:pStyle w:val="Zkladntext2"/>
        <w:rPr>
          <w:rFonts w:ascii="Calibri" w:hAnsi="Calibri" w:cs="Arial"/>
        </w:rPr>
      </w:pP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Řádná účetní závěrka byla sestavena v souladu s vyhláškou </w:t>
      </w:r>
      <w:r w:rsidRPr="00422C48">
        <w:rPr>
          <w:rFonts w:ascii="Calibri" w:hAnsi="Calibri" w:cs="Arial"/>
          <w:sz w:val="22"/>
          <w:szCs w:val="22"/>
        </w:rPr>
        <w:t>č. 410/2009 Sb.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Arial" w:hAnsi="Arial" w:cs="Arial"/>
          <w:sz w:val="18"/>
          <w:szCs w:val="18"/>
        </w:rPr>
        <w:t>ve znění pozdějších předpisů,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stanoveným způsobem předložena zřizovateli</w:t>
      </w:r>
      <w:r>
        <w:rPr>
          <w:rFonts w:ascii="Calibri" w:hAnsi="Calibri" w:cs="Arial"/>
          <w:sz w:val="22"/>
          <w:szCs w:val="22"/>
        </w:rPr>
        <w:t xml:space="preserve"> a</w:t>
      </w:r>
      <w:r w:rsidRPr="00493C98">
        <w:rPr>
          <w:rFonts w:ascii="Calibri" w:hAnsi="Calibri" w:cs="Arial"/>
          <w:sz w:val="22"/>
          <w:szCs w:val="22"/>
        </w:rPr>
        <w:t xml:space="preserve"> dle vyhlášky MF </w:t>
      </w:r>
      <w:r w:rsidRPr="00491DD8">
        <w:rPr>
          <w:rFonts w:ascii="Calibri" w:hAnsi="Calibri" w:cs="Arial"/>
          <w:sz w:val="22"/>
          <w:szCs w:val="22"/>
        </w:rPr>
        <w:t>č. 383/2009</w:t>
      </w:r>
      <w:r w:rsidRPr="00493C98">
        <w:rPr>
          <w:rFonts w:ascii="Calibri" w:hAnsi="Calibri" w:cs="Arial"/>
          <w:sz w:val="22"/>
          <w:szCs w:val="22"/>
        </w:rPr>
        <w:t xml:space="preserve"> Sb.,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ve znění pozdějších předpisů,</w:t>
      </w:r>
      <w:r w:rsidRPr="00493C98">
        <w:rPr>
          <w:rFonts w:ascii="Calibri" w:hAnsi="Calibri" w:cs="Arial"/>
          <w:sz w:val="22"/>
          <w:szCs w:val="22"/>
        </w:rPr>
        <w:t xml:space="preserve"> o </w:t>
      </w:r>
      <w:r>
        <w:rPr>
          <w:rFonts w:ascii="Calibri" w:hAnsi="Calibri" w:cs="Arial"/>
          <w:sz w:val="22"/>
          <w:szCs w:val="22"/>
        </w:rPr>
        <w:t>účetních záznamech v technické formě předána do centrálního systému účetních informací státu.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K dosažení co nejvěrnějšího zobrazení</w:t>
      </w:r>
      <w:r>
        <w:rPr>
          <w:rFonts w:ascii="Calibri" w:hAnsi="Calibri" w:cs="Arial"/>
          <w:sz w:val="22"/>
          <w:szCs w:val="22"/>
        </w:rPr>
        <w:t xml:space="preserve"> skutečnosti N a V k 31. 12. </w:t>
      </w:r>
      <w:r w:rsidR="0053370C">
        <w:rPr>
          <w:rFonts w:ascii="Calibri" w:hAnsi="Calibri" w:cs="Arial"/>
          <w:sz w:val="22"/>
          <w:szCs w:val="22"/>
        </w:rPr>
        <w:t>201</w:t>
      </w:r>
      <w:r w:rsidR="0026324A">
        <w:rPr>
          <w:rFonts w:ascii="Calibri" w:hAnsi="Calibri" w:cs="Arial"/>
          <w:sz w:val="22"/>
          <w:szCs w:val="22"/>
        </w:rPr>
        <w:t>6</w:t>
      </w:r>
      <w:r w:rsidRPr="00493C98">
        <w:rPr>
          <w:rFonts w:ascii="Calibri" w:hAnsi="Calibri" w:cs="Arial"/>
          <w:sz w:val="22"/>
          <w:szCs w:val="22"/>
        </w:rPr>
        <w:t xml:space="preserve"> organizace použila při roční uzávěrce časové rozlišení nákladů a výnosů a dohadné účty aktivní a pasivní.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Data účetní závěrky byla předána včas. Na základě kontroly závěrky nebyly zjištěny rozdíly kontrolovaných vazeb účetnictví. 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  <w:u w:val="single"/>
        </w:rPr>
      </w:pPr>
      <w:r w:rsidRPr="00493C98">
        <w:rPr>
          <w:rFonts w:ascii="Calibri" w:hAnsi="Calibri" w:cs="Arial"/>
          <w:sz w:val="22"/>
          <w:szCs w:val="22"/>
        </w:rPr>
        <w:t xml:space="preserve">Účetní výkazy (rozvaha, výkaz zisku a ztráty, příloha) k 31. 12. </w:t>
      </w:r>
      <w:r w:rsidR="0026324A">
        <w:rPr>
          <w:rFonts w:ascii="Calibri" w:hAnsi="Calibri" w:cs="Arial"/>
          <w:sz w:val="22"/>
          <w:szCs w:val="22"/>
        </w:rPr>
        <w:t>2016</w:t>
      </w:r>
      <w:r w:rsidRPr="00493C98">
        <w:rPr>
          <w:rFonts w:ascii="Calibri" w:hAnsi="Calibri" w:cs="Arial"/>
          <w:sz w:val="22"/>
          <w:szCs w:val="22"/>
        </w:rPr>
        <w:t xml:space="preserve"> byly zaslány ve stanoveném termínu a předepsaném rozsahu. Vazby je</w:t>
      </w:r>
      <w:r>
        <w:rPr>
          <w:rFonts w:ascii="Calibri" w:hAnsi="Calibri" w:cs="Arial"/>
          <w:sz w:val="22"/>
          <w:szCs w:val="22"/>
        </w:rPr>
        <w:t xml:space="preserve">dnotlivých účetních výkazů byly </w:t>
      </w:r>
      <w:r w:rsidRPr="00493C98">
        <w:rPr>
          <w:rFonts w:ascii="Calibri" w:hAnsi="Calibri" w:cs="Arial"/>
          <w:sz w:val="22"/>
          <w:szCs w:val="22"/>
        </w:rPr>
        <w:t xml:space="preserve">dodrženy a nevykazovaly </w:t>
      </w:r>
      <w:r>
        <w:rPr>
          <w:rFonts w:ascii="Calibri" w:hAnsi="Calibri" w:cs="Arial"/>
          <w:sz w:val="22"/>
          <w:szCs w:val="22"/>
        </w:rPr>
        <w:t>rozdíly.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Zpráva o hospodaření byla předložena dle pokynu odboru. Komentáře k jednotlivým bodům jsou dostačující. </w:t>
      </w:r>
      <w:r w:rsidRPr="00E47AF2">
        <w:rPr>
          <w:rFonts w:ascii="Calibri" w:hAnsi="Calibri" w:cs="Arial"/>
          <w:sz w:val="22"/>
          <w:szCs w:val="22"/>
        </w:rPr>
        <w:t>Na základě kontroly údajů byly provedeny drobné korekce</w:t>
      </w:r>
      <w:r w:rsidR="008E3898">
        <w:rPr>
          <w:rFonts w:ascii="Calibri" w:hAnsi="Calibri" w:cs="Arial"/>
          <w:sz w:val="22"/>
          <w:szCs w:val="22"/>
        </w:rPr>
        <w:t>.</w:t>
      </w:r>
    </w:p>
    <w:p w:rsidR="00757E70" w:rsidRDefault="009A3ABC" w:rsidP="0097638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757E70">
        <w:rPr>
          <w:rFonts w:ascii="Calibri" w:hAnsi="Calibri" w:cs="Arial"/>
          <w:sz w:val="22"/>
          <w:szCs w:val="22"/>
        </w:rPr>
        <w:t>Celková ekonomická situace organizace je hodnocena dle jednotlivých bodů tohoto vypracovaného stanoviska</w:t>
      </w:r>
      <w:r w:rsidR="00757E70">
        <w:rPr>
          <w:rFonts w:ascii="Calibri" w:hAnsi="Calibri" w:cs="Arial"/>
          <w:sz w:val="22"/>
          <w:szCs w:val="22"/>
        </w:rPr>
        <w:t>.</w:t>
      </w:r>
    </w:p>
    <w:p w:rsidR="009A3ABC" w:rsidRDefault="00757E70" w:rsidP="0097638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</w:t>
      </w:r>
      <w:r w:rsidR="009A3ABC" w:rsidRPr="00757E70">
        <w:rPr>
          <w:rFonts w:ascii="Calibri" w:hAnsi="Calibri" w:cs="Arial"/>
          <w:sz w:val="22"/>
          <w:szCs w:val="22"/>
        </w:rPr>
        <w:t>odnocení celoroční spolupráce a přístupu organizace</w:t>
      </w:r>
      <w:r w:rsidRPr="00757E70">
        <w:rPr>
          <w:rFonts w:ascii="Calibri" w:hAnsi="Calibri" w:cs="Arial"/>
          <w:sz w:val="22"/>
          <w:szCs w:val="22"/>
        </w:rPr>
        <w:t xml:space="preserve">: </w:t>
      </w:r>
      <w:r w:rsidR="009A3ABC" w:rsidRPr="00757E70">
        <w:rPr>
          <w:rFonts w:ascii="Calibri" w:hAnsi="Calibri" w:cs="Arial"/>
          <w:sz w:val="22"/>
          <w:szCs w:val="22"/>
        </w:rPr>
        <w:t xml:space="preserve">dobrá spolupráce, termíny jsou dodržovány, organizace předkládá materiály dle požadované struktury, evidence je analyticky členěna, jednání </w:t>
      </w:r>
      <w:r w:rsidRPr="00757E70">
        <w:rPr>
          <w:rFonts w:ascii="Calibri" w:hAnsi="Calibri" w:cs="Arial"/>
          <w:sz w:val="22"/>
          <w:szCs w:val="22"/>
        </w:rPr>
        <w:t xml:space="preserve">je </w:t>
      </w:r>
      <w:r w:rsidR="009A3ABC" w:rsidRPr="00757E70">
        <w:rPr>
          <w:rFonts w:ascii="Calibri" w:hAnsi="Calibri" w:cs="Arial"/>
          <w:sz w:val="22"/>
          <w:szCs w:val="22"/>
        </w:rPr>
        <w:t>vstřícné</w:t>
      </w:r>
      <w:r w:rsidRPr="00757E70">
        <w:rPr>
          <w:rFonts w:ascii="Calibri" w:hAnsi="Calibri" w:cs="Arial"/>
          <w:sz w:val="22"/>
          <w:szCs w:val="22"/>
        </w:rPr>
        <w:t xml:space="preserve"> a </w:t>
      </w:r>
      <w:r w:rsidR="009A3ABC" w:rsidRPr="00757E70">
        <w:rPr>
          <w:rFonts w:ascii="Calibri" w:hAnsi="Calibri" w:cs="Arial"/>
          <w:sz w:val="22"/>
          <w:szCs w:val="22"/>
        </w:rPr>
        <w:t>zpracované podklady</w:t>
      </w:r>
      <w:r w:rsidRPr="00757E70">
        <w:rPr>
          <w:rFonts w:ascii="Calibri" w:hAnsi="Calibri" w:cs="Arial"/>
          <w:sz w:val="22"/>
          <w:szCs w:val="22"/>
        </w:rPr>
        <w:t xml:space="preserve"> jsou v odpovídající podobě</w:t>
      </w:r>
      <w:r w:rsidR="009A3ABC" w:rsidRPr="00757E70">
        <w:rPr>
          <w:rFonts w:ascii="Calibri" w:hAnsi="Calibri" w:cs="Arial"/>
          <w:sz w:val="22"/>
          <w:szCs w:val="22"/>
        </w:rPr>
        <w:t>.</w:t>
      </w:r>
    </w:p>
    <w:p w:rsidR="00F57FA2" w:rsidRDefault="00F57FA2" w:rsidP="00F57FA2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 xml:space="preserve">9. STANOVISKO KE SCHVALOVÁNÍ ÚČETNÍ ZÁVĚRKY ZA ROK </w:t>
      </w:r>
      <w:r w:rsidR="0053370C">
        <w:rPr>
          <w:rFonts w:ascii="Calibri" w:hAnsi="Calibri" w:cs="Arial"/>
          <w:b/>
          <w:smallCaps/>
          <w:color w:val="1F497D"/>
          <w:sz w:val="28"/>
          <w:szCs w:val="28"/>
        </w:rPr>
        <w:t>2</w:t>
      </w:r>
      <w:r w:rsidR="008A2651">
        <w:rPr>
          <w:rFonts w:ascii="Calibri" w:hAnsi="Calibri" w:cs="Arial"/>
          <w:b/>
          <w:smallCaps/>
          <w:color w:val="1F497D"/>
          <w:sz w:val="28"/>
          <w:szCs w:val="28"/>
        </w:rPr>
        <w:t>016</w:t>
      </w:r>
    </w:p>
    <w:p w:rsidR="00F57FA2" w:rsidRDefault="00F57FA2" w:rsidP="00F57FA2">
      <w:pPr>
        <w:rPr>
          <w:rFonts w:ascii="Arial" w:hAnsi="Arial" w:cs="Arial"/>
          <w:b/>
          <w:sz w:val="22"/>
          <w:szCs w:val="22"/>
        </w:rPr>
      </w:pP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Řádná účetní závěrka byla sestavena a předložena zřizovateli v souladu se zákonem č. 563/1991 Sb., o účetnictví, ve znění pozdějších předpisů, prováděcí vyhláškou k zákonu o účetnictví </w:t>
      </w:r>
      <w:r>
        <w:rPr>
          <w:rFonts w:asciiTheme="minorHAnsi" w:hAnsiTheme="minorHAnsi" w:cs="Arial"/>
          <w:sz w:val="22"/>
          <w:szCs w:val="22"/>
        </w:rPr>
        <w:br/>
        <w:t>č. 410/2009 Sb., ve znění pozdějších předpisů a vyhláškou č. 383/2009 Sb., o účetních záznamech v technické formě vybraných účetních jednotek a jejich předávání do centrálního systému účetních informací státu a o požadavcích na technické a smíšené formy účetních záznamů (technická vyhláška), ve znění pozdějších předpisů.</w:t>
      </w: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Data účetní závěrky byla předána včas. Na základě kontroly závěrky nebyly zjištěny rozdíly kontrolovaných vazeb účetnictví, byly provedeny dodatečné drobné korekce a opravy. K dosažení co nejvěrnějšího zobrazení skutečnosti nákladů k 31. 12. </w:t>
      </w:r>
      <w:r w:rsidR="0026324A">
        <w:rPr>
          <w:rFonts w:asciiTheme="minorHAnsi" w:hAnsiTheme="minorHAnsi" w:cs="Arial"/>
          <w:sz w:val="22"/>
          <w:szCs w:val="22"/>
        </w:rPr>
        <w:t>2016</w:t>
      </w:r>
      <w:r>
        <w:rPr>
          <w:rFonts w:asciiTheme="minorHAnsi" w:hAnsiTheme="minorHAnsi" w:cs="Arial"/>
          <w:sz w:val="22"/>
          <w:szCs w:val="22"/>
        </w:rPr>
        <w:t xml:space="preserve"> organizace použila při roční uzávěrce časové rozlišení nákladů a dohadné účty aktivní i pasivní.</w:t>
      </w: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Účetní výkazy (rozvaha, výkaz zisku a ztráty, příloha) k 31. 12. </w:t>
      </w:r>
      <w:r w:rsidR="0026324A">
        <w:rPr>
          <w:rFonts w:asciiTheme="minorHAnsi" w:hAnsiTheme="minorHAnsi" w:cs="Arial"/>
          <w:sz w:val="22"/>
          <w:szCs w:val="22"/>
        </w:rPr>
        <w:t>2016</w:t>
      </w:r>
      <w:r>
        <w:rPr>
          <w:rFonts w:asciiTheme="minorHAnsi" w:hAnsiTheme="minorHAnsi" w:cs="Arial"/>
          <w:sz w:val="22"/>
          <w:szCs w:val="22"/>
        </w:rPr>
        <w:t xml:space="preserve"> byly zaslány ve stanoveném termínu a předepsaném rozsahu. Vazby jednotlivých účetních výkazů byly dodrženy a nevykazovaly rozdíly. Byla provedena následná kontrola úplnosti a správnosti dat účetních výkazů zaslaných k republikové sumarizaci.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Vyjádření ředitele organizace: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návaznosti na vyhodnocení:</w:t>
      </w:r>
    </w:p>
    <w:p w:rsidR="00F57FA2" w:rsidRDefault="00F57FA2" w:rsidP="00F57FA2">
      <w:pPr>
        <w:numPr>
          <w:ilvl w:val="1"/>
          <w:numId w:val="6"/>
        </w:numPr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vybraných oblastí řízení,</w:t>
      </w:r>
    </w:p>
    <w:p w:rsidR="00F57FA2" w:rsidRDefault="00F57FA2" w:rsidP="00F57FA2">
      <w:pPr>
        <w:numPr>
          <w:ilvl w:val="1"/>
          <w:numId w:val="6"/>
        </w:numPr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předaných podkladů ke schvalování účetní závěrky organizace k 31. 12. </w:t>
      </w:r>
      <w:r w:rsidR="0026324A">
        <w:rPr>
          <w:rFonts w:asciiTheme="minorHAnsi" w:hAnsiTheme="minorHAnsi" w:cs="Arial"/>
          <w:sz w:val="22"/>
          <w:szCs w:val="22"/>
        </w:rPr>
        <w:t>2016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ředitel příspěvkové organizace </w:t>
      </w:r>
      <w:r>
        <w:rPr>
          <w:rFonts w:asciiTheme="minorHAnsi" w:hAnsiTheme="minorHAnsi" w:cs="Arial"/>
          <w:b/>
          <w:i/>
          <w:sz w:val="22"/>
          <w:szCs w:val="22"/>
        </w:rPr>
        <w:t>doporučuje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i/>
          <w:sz w:val="22"/>
          <w:szCs w:val="22"/>
        </w:rPr>
        <w:t>schválit účetní závěrku</w:t>
      </w:r>
      <w:r>
        <w:rPr>
          <w:rFonts w:asciiTheme="minorHAnsi" w:hAnsiTheme="minorHAnsi" w:cs="Arial"/>
          <w:i/>
          <w:sz w:val="22"/>
          <w:szCs w:val="22"/>
        </w:rPr>
        <w:t xml:space="preserve"> příspěvkové organizace </w:t>
      </w:r>
      <w:r>
        <w:rPr>
          <w:rFonts w:asciiTheme="minorHAnsi" w:hAnsiTheme="minorHAnsi" w:cs="Arial"/>
          <w:i/>
          <w:sz w:val="22"/>
          <w:szCs w:val="22"/>
        </w:rPr>
        <w:br/>
        <w:t xml:space="preserve">k 31. 12. </w:t>
      </w:r>
      <w:r w:rsidR="0026324A">
        <w:rPr>
          <w:rFonts w:asciiTheme="minorHAnsi" w:hAnsiTheme="minorHAnsi" w:cs="Arial"/>
          <w:i/>
          <w:sz w:val="22"/>
          <w:szCs w:val="22"/>
        </w:rPr>
        <w:t>2016</w:t>
      </w:r>
      <w:r>
        <w:rPr>
          <w:rFonts w:asciiTheme="minorHAnsi" w:hAnsiTheme="minorHAnsi" w:cs="Arial"/>
          <w:i/>
          <w:sz w:val="22"/>
          <w:szCs w:val="22"/>
        </w:rPr>
        <w:t xml:space="preserve"> na zasedání Rady Zlínského kraje dne </w:t>
      </w:r>
      <w:r w:rsidR="007D3526">
        <w:rPr>
          <w:rFonts w:asciiTheme="minorHAnsi" w:hAnsiTheme="minorHAnsi" w:cs="Arial"/>
          <w:i/>
          <w:sz w:val="22"/>
          <w:szCs w:val="22"/>
        </w:rPr>
        <w:t>2</w:t>
      </w:r>
      <w:r w:rsidR="00320959">
        <w:rPr>
          <w:rFonts w:asciiTheme="minorHAnsi" w:hAnsiTheme="minorHAnsi" w:cs="Arial"/>
          <w:i/>
          <w:sz w:val="22"/>
          <w:szCs w:val="22"/>
        </w:rPr>
        <w:t>. 5. 2017.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i/>
          <w:sz w:val="22"/>
          <w:szCs w:val="22"/>
        </w:rPr>
      </w:pP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Vyjádření odboru školství, mládeže a sportu: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V návaznosti na průběžné vyhodnocení: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údajů z měsíčně zasílaných dat účetnictví,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výsledků kontrol základních účetních vazeb,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základních ukazatelů hospodaření a financování příspěvkové organizace,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předaných podkladů ke schvalování účetní závěrky příspěvkové organizace k 31. 12. </w:t>
      </w:r>
      <w:r w:rsidR="0026324A">
        <w:rPr>
          <w:rFonts w:asciiTheme="minorHAnsi" w:hAnsiTheme="minorHAnsi" w:cs="Arial"/>
          <w:sz w:val="22"/>
          <w:szCs w:val="22"/>
        </w:rPr>
        <w:t>2016</w:t>
      </w:r>
      <w:r w:rsidR="006C498B">
        <w:rPr>
          <w:rFonts w:asciiTheme="minorHAnsi" w:hAnsiTheme="minorHAnsi" w:cs="Arial"/>
          <w:sz w:val="22"/>
          <w:szCs w:val="22"/>
        </w:rPr>
        <w:t>,</w:t>
      </w:r>
    </w:p>
    <w:p w:rsidR="00F57FA2" w:rsidRDefault="00F57FA2" w:rsidP="00F57FA2">
      <w:pPr>
        <w:spacing w:before="120"/>
        <w:ind w:left="284"/>
        <w:rPr>
          <w:rFonts w:asciiTheme="minorHAnsi" w:hAnsiTheme="minorHAnsi" w:cs="Arial"/>
          <w:i/>
          <w:sz w:val="22"/>
          <w:szCs w:val="22"/>
        </w:rPr>
      </w:pPr>
    </w:p>
    <w:p w:rsidR="00F57FA2" w:rsidRDefault="00F57FA2" w:rsidP="00F57FA2">
      <w:pPr>
        <w:spacing w:before="120" w:after="120"/>
        <w:ind w:left="284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nebyly zjištěny nedostatky či problémy ovlivňující úplnost, správnost a průkaznost vedení účetnictví příspěvkové organizace a </w:t>
      </w:r>
      <w:r>
        <w:rPr>
          <w:rFonts w:asciiTheme="minorHAnsi" w:hAnsiTheme="minorHAnsi" w:cs="Arial"/>
          <w:i/>
          <w:sz w:val="22"/>
          <w:szCs w:val="22"/>
        </w:rPr>
        <w:t xml:space="preserve">odbor školství, mládeže a sportu </w:t>
      </w:r>
      <w:r>
        <w:rPr>
          <w:rFonts w:asciiTheme="minorHAnsi" w:hAnsiTheme="minorHAnsi" w:cs="Arial"/>
          <w:b/>
          <w:i/>
          <w:sz w:val="22"/>
          <w:szCs w:val="22"/>
        </w:rPr>
        <w:t>doporučuje schválit účetní závěrku</w:t>
      </w:r>
      <w:r>
        <w:rPr>
          <w:rFonts w:asciiTheme="minorHAnsi" w:hAnsiTheme="minorHAnsi" w:cs="Arial"/>
          <w:i/>
          <w:sz w:val="22"/>
          <w:szCs w:val="22"/>
        </w:rPr>
        <w:t xml:space="preserve"> příspěvkové organizace k 31. 12. </w:t>
      </w:r>
      <w:r w:rsidR="0026324A">
        <w:rPr>
          <w:rFonts w:asciiTheme="minorHAnsi" w:hAnsiTheme="minorHAnsi" w:cs="Arial"/>
          <w:i/>
          <w:sz w:val="22"/>
          <w:szCs w:val="22"/>
        </w:rPr>
        <w:t>2016</w:t>
      </w:r>
      <w:r>
        <w:rPr>
          <w:rFonts w:asciiTheme="minorHAnsi" w:hAnsiTheme="minorHAnsi" w:cs="Arial"/>
          <w:i/>
          <w:sz w:val="22"/>
          <w:szCs w:val="22"/>
        </w:rPr>
        <w:t xml:space="preserve"> na zasedání Rady Zlínského kraje </w:t>
      </w:r>
      <w:r w:rsidRPr="00967638">
        <w:rPr>
          <w:rFonts w:asciiTheme="minorHAnsi" w:hAnsiTheme="minorHAnsi" w:cs="Arial"/>
          <w:i/>
          <w:sz w:val="22"/>
          <w:szCs w:val="22"/>
        </w:rPr>
        <w:t xml:space="preserve">dne </w:t>
      </w:r>
      <w:r w:rsidR="007D3526">
        <w:rPr>
          <w:rFonts w:asciiTheme="minorHAnsi" w:hAnsiTheme="minorHAnsi" w:cs="Arial"/>
          <w:i/>
          <w:sz w:val="22"/>
          <w:szCs w:val="22"/>
        </w:rPr>
        <w:t>2</w:t>
      </w:r>
      <w:r w:rsidR="00201BED">
        <w:rPr>
          <w:rFonts w:asciiTheme="minorHAnsi" w:hAnsiTheme="minorHAnsi" w:cs="Arial"/>
          <w:i/>
          <w:sz w:val="22"/>
          <w:szCs w:val="22"/>
        </w:rPr>
        <w:t>. 5.</w:t>
      </w:r>
      <w:r w:rsidR="006C498B" w:rsidRPr="00967638">
        <w:rPr>
          <w:rFonts w:asciiTheme="minorHAnsi" w:hAnsiTheme="minorHAnsi" w:cs="Arial"/>
          <w:i/>
          <w:sz w:val="22"/>
          <w:szCs w:val="22"/>
        </w:rPr>
        <w:t xml:space="preserve"> </w:t>
      </w:r>
      <w:r w:rsidRPr="00967638">
        <w:rPr>
          <w:rFonts w:asciiTheme="minorHAnsi" w:hAnsiTheme="minorHAnsi" w:cs="Arial"/>
          <w:i/>
          <w:sz w:val="22"/>
          <w:szCs w:val="22"/>
        </w:rPr>
        <w:t>201</w:t>
      </w:r>
      <w:r w:rsidR="00B31333">
        <w:rPr>
          <w:rFonts w:asciiTheme="minorHAnsi" w:hAnsiTheme="minorHAnsi" w:cs="Arial"/>
          <w:i/>
          <w:sz w:val="22"/>
          <w:szCs w:val="22"/>
        </w:rPr>
        <w:t>7</w:t>
      </w:r>
      <w:r>
        <w:rPr>
          <w:rFonts w:asciiTheme="minorHAnsi" w:hAnsiTheme="minorHAnsi" w:cs="Arial"/>
          <w:i/>
          <w:sz w:val="22"/>
          <w:szCs w:val="22"/>
        </w:rPr>
        <w:t>.</w:t>
      </w:r>
    </w:p>
    <w:p w:rsidR="00F57FA2" w:rsidRDefault="00F57FA2" w:rsidP="00F57FA2">
      <w:pPr>
        <w:spacing w:after="200" w:line="276" w:lineRule="auto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color w:val="0000FF"/>
          <w:sz w:val="22"/>
          <w:szCs w:val="22"/>
        </w:rPr>
        <w:br w:type="page"/>
      </w:r>
    </w:p>
    <w:p w:rsidR="00F57FA2" w:rsidRDefault="00F57FA2" w:rsidP="00F57FA2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 xml:space="preserve">Závěr </w:t>
      </w:r>
    </w:p>
    <w:p w:rsidR="00F57FA2" w:rsidRDefault="00F57FA2" w:rsidP="00F57FA2">
      <w:pPr>
        <w:jc w:val="both"/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 rámci hodnocení finančního hospodaření organizace odbor školství mládeže a sportu doporučuje, aby zlepšený výsledek hospodaření organizace vykázaný k  31. 12. </w:t>
      </w:r>
      <w:r w:rsidR="0026324A">
        <w:rPr>
          <w:rFonts w:ascii="Calibri" w:hAnsi="Calibri" w:cs="Arial"/>
          <w:sz w:val="22"/>
          <w:szCs w:val="22"/>
        </w:rPr>
        <w:t>2016</w:t>
      </w:r>
      <w:r>
        <w:rPr>
          <w:rFonts w:ascii="Calibri" w:hAnsi="Calibri" w:cs="Arial"/>
          <w:sz w:val="22"/>
          <w:szCs w:val="22"/>
        </w:rPr>
        <w:t xml:space="preserve"> ve výši Kč</w:t>
      </w:r>
      <w:r w:rsidR="0091544E">
        <w:rPr>
          <w:rFonts w:ascii="Calibri" w:hAnsi="Calibri" w:cs="Arial"/>
          <w:sz w:val="22"/>
          <w:szCs w:val="22"/>
        </w:rPr>
        <w:t xml:space="preserve"> 275 126,10</w:t>
      </w:r>
      <w:r>
        <w:rPr>
          <w:rFonts w:ascii="Calibri" w:hAnsi="Calibri" w:cs="Arial"/>
          <w:sz w:val="22"/>
          <w:szCs w:val="22"/>
        </w:rPr>
        <w:t xml:space="preserve"> byl, v případě schválení závěrky, převeden do fondu odměn ve výši Kč</w:t>
      </w:r>
      <w:r w:rsidR="0091544E">
        <w:rPr>
          <w:rFonts w:ascii="Calibri" w:hAnsi="Calibri" w:cs="Arial"/>
          <w:sz w:val="22"/>
          <w:szCs w:val="22"/>
        </w:rPr>
        <w:t xml:space="preserve"> 54 000</w:t>
      </w:r>
      <w:r>
        <w:rPr>
          <w:rFonts w:ascii="Calibri" w:hAnsi="Calibri" w:cs="Arial"/>
          <w:sz w:val="22"/>
          <w:szCs w:val="22"/>
        </w:rPr>
        <w:t xml:space="preserve">,00 a do rezervního fondu </w:t>
      </w:r>
      <w:r>
        <w:rPr>
          <w:rFonts w:ascii="Calibri" w:hAnsi="Calibri" w:cs="Arial"/>
          <w:sz w:val="22"/>
          <w:szCs w:val="22"/>
        </w:rPr>
        <w:br/>
        <w:t>ve výši Kč</w:t>
      </w:r>
      <w:r w:rsidR="0091544E">
        <w:rPr>
          <w:rFonts w:ascii="Calibri" w:hAnsi="Calibri" w:cs="Arial"/>
          <w:sz w:val="22"/>
          <w:szCs w:val="22"/>
        </w:rPr>
        <w:t xml:space="preserve"> 221 126,10</w:t>
      </w:r>
      <w:r>
        <w:rPr>
          <w:rFonts w:ascii="Calibri" w:hAnsi="Calibri" w:cs="Arial"/>
          <w:sz w:val="22"/>
          <w:szCs w:val="22"/>
        </w:rPr>
        <w:t>.</w:t>
      </w:r>
    </w:p>
    <w:p w:rsidR="00F57FA2" w:rsidRDefault="00F57FA2" w:rsidP="00F57FA2">
      <w:pPr>
        <w:jc w:val="both"/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rPr>
          <w:rFonts w:ascii="Calibri" w:hAnsi="Calibri" w:cs="Arial"/>
          <w:b/>
          <w:sz w:val="22"/>
          <w:szCs w:val="22"/>
        </w:rPr>
      </w:pPr>
    </w:p>
    <w:p w:rsidR="00F57FA2" w:rsidRPr="00B31333" w:rsidRDefault="00F57FA2" w:rsidP="00F57F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Stanovisko bylo zpracováno na základě účetních dat, vyhodnocení ekonomických ukazatelů, předložené zprávy o hospodaření a podkladů ke schvalování účetní závěrky příspěvkové organizace v souladu s </w:t>
      </w:r>
      <w:r w:rsidRPr="00370D97">
        <w:rPr>
          <w:rFonts w:asciiTheme="minorHAnsi" w:hAnsiTheme="minorHAnsi" w:cs="Arial"/>
          <w:sz w:val="22"/>
          <w:szCs w:val="22"/>
        </w:rPr>
        <w:t xml:space="preserve">usnesením </w:t>
      </w:r>
      <w:r w:rsidRPr="00D953E6">
        <w:rPr>
          <w:rFonts w:asciiTheme="minorHAnsi" w:hAnsiTheme="minorHAnsi" w:cs="Arial"/>
          <w:sz w:val="22"/>
          <w:szCs w:val="22"/>
        </w:rPr>
        <w:t xml:space="preserve">RZK </w:t>
      </w:r>
      <w:r w:rsidRPr="00B31333">
        <w:rPr>
          <w:rFonts w:asciiTheme="minorHAnsi" w:hAnsiTheme="minorHAnsi" w:cs="Arial"/>
          <w:sz w:val="22"/>
          <w:szCs w:val="22"/>
        </w:rPr>
        <w:t>č.</w:t>
      </w:r>
      <w:r w:rsidR="002850F8" w:rsidRPr="00B31333">
        <w:rPr>
          <w:rFonts w:asciiTheme="minorHAnsi" w:hAnsiTheme="minorHAnsi" w:cs="Arial"/>
          <w:sz w:val="22"/>
          <w:szCs w:val="22"/>
        </w:rPr>
        <w:t xml:space="preserve"> 00</w:t>
      </w:r>
      <w:r w:rsidR="00B31333" w:rsidRPr="00B31333">
        <w:rPr>
          <w:rFonts w:asciiTheme="minorHAnsi" w:hAnsiTheme="minorHAnsi" w:cs="Arial"/>
          <w:sz w:val="22"/>
          <w:szCs w:val="22"/>
        </w:rPr>
        <w:t xml:space="preserve">46/R02/17 </w:t>
      </w:r>
      <w:r w:rsidRPr="00B31333">
        <w:rPr>
          <w:rFonts w:asciiTheme="minorHAnsi" w:hAnsiTheme="minorHAnsi" w:cs="Arial"/>
          <w:sz w:val="22"/>
          <w:szCs w:val="22"/>
        </w:rPr>
        <w:t xml:space="preserve"> ze dne </w:t>
      </w:r>
      <w:r w:rsidR="002850F8" w:rsidRPr="00B31333">
        <w:rPr>
          <w:rFonts w:asciiTheme="minorHAnsi" w:hAnsiTheme="minorHAnsi" w:cs="Arial"/>
          <w:sz w:val="22"/>
          <w:szCs w:val="22"/>
        </w:rPr>
        <w:t>2</w:t>
      </w:r>
      <w:r w:rsidR="00B31333" w:rsidRPr="00B31333">
        <w:rPr>
          <w:rFonts w:asciiTheme="minorHAnsi" w:hAnsiTheme="minorHAnsi" w:cs="Arial"/>
          <w:sz w:val="22"/>
          <w:szCs w:val="22"/>
        </w:rPr>
        <w:t>0</w:t>
      </w:r>
      <w:r w:rsidR="009A2A7A">
        <w:rPr>
          <w:rFonts w:asciiTheme="minorHAnsi" w:hAnsiTheme="minorHAnsi" w:cs="Arial"/>
          <w:sz w:val="22"/>
          <w:szCs w:val="22"/>
        </w:rPr>
        <w:t xml:space="preserve">. </w:t>
      </w:r>
      <w:r w:rsidR="002850F8" w:rsidRPr="00B31333">
        <w:rPr>
          <w:rFonts w:asciiTheme="minorHAnsi" w:hAnsiTheme="minorHAnsi" w:cs="Arial"/>
          <w:sz w:val="22"/>
          <w:szCs w:val="22"/>
        </w:rPr>
        <w:t xml:space="preserve">1. </w:t>
      </w:r>
      <w:r w:rsidRPr="00B31333">
        <w:rPr>
          <w:rFonts w:asciiTheme="minorHAnsi" w:hAnsiTheme="minorHAnsi" w:cs="Arial"/>
          <w:sz w:val="22"/>
          <w:szCs w:val="22"/>
        </w:rPr>
        <w:t>201</w:t>
      </w:r>
      <w:r w:rsidR="00B31333" w:rsidRPr="00B31333">
        <w:rPr>
          <w:rFonts w:asciiTheme="minorHAnsi" w:hAnsiTheme="minorHAnsi" w:cs="Arial"/>
          <w:sz w:val="22"/>
          <w:szCs w:val="22"/>
        </w:rPr>
        <w:t>7</w:t>
      </w:r>
      <w:r w:rsidRPr="00B31333">
        <w:rPr>
          <w:rFonts w:asciiTheme="minorHAnsi" w:hAnsiTheme="minorHAnsi" w:cs="Arial"/>
          <w:sz w:val="22"/>
          <w:szCs w:val="22"/>
        </w:rPr>
        <w:t>.</w:t>
      </w:r>
    </w:p>
    <w:p w:rsidR="00F57FA2" w:rsidRDefault="00F57FA2" w:rsidP="00F57FA2">
      <w:pPr>
        <w:jc w:val="both"/>
        <w:rPr>
          <w:rFonts w:asciiTheme="minorHAnsi" w:hAnsiTheme="minorHAnsi" w:cs="Arial"/>
          <w:sz w:val="22"/>
          <w:szCs w:val="22"/>
        </w:rPr>
      </w:pPr>
    </w:p>
    <w:p w:rsidR="00F57FA2" w:rsidRDefault="00F57FA2" w:rsidP="00F57FA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4201"/>
        <w:gridCol w:w="3543"/>
      </w:tblGrid>
      <w:tr w:rsidR="00F57FA2" w:rsidTr="00F57FA2">
        <w:trPr>
          <w:trHeight w:val="853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Tímto stanoviskem nejsou dotčena práva kontrolních orgánů provádět revizi výsledků hospodaření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br/>
              <w:t>a účetní závěrky a ověřovat, zda údaje vykázané v účetních výkazech věrně zobrazují majetek, zdroje jeho financování a hospodaření s ním.</w:t>
            </w:r>
          </w:p>
        </w:tc>
      </w:tr>
      <w:tr w:rsidR="00F57FA2" w:rsidTr="00F57FA2">
        <w:trPr>
          <w:trHeight w:val="345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Ve Zlíně dne: 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3B61B0" w:rsidP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22. 03.</w:t>
            </w:r>
            <w:r w:rsidR="00F87CA9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2017</w:t>
            </w:r>
          </w:p>
        </w:tc>
      </w:tr>
      <w:tr w:rsidR="00F57FA2" w:rsidTr="00F57FA2">
        <w:trPr>
          <w:trHeight w:val="355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Zpracoval: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3B61B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Svatava Suchomelová</w:t>
            </w:r>
          </w:p>
        </w:tc>
      </w:tr>
      <w:tr w:rsidR="00F57FA2" w:rsidTr="00F57FA2">
        <w:trPr>
          <w:trHeight w:val="51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  <w:lang w:eastAsia="en-US"/>
              </w:rPr>
              <w:t>Vyjádření příspěvkové organizace:</w:t>
            </w: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 w:rsidP="00F57FA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 w:rsidP="00F57FA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DOPORUČUJI SCHVÁLIT</w:t>
            </w: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F57FA2" w:rsidTr="00F57FA2">
        <w:trPr>
          <w:trHeight w:val="5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Za příspěvkovou organizaci: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Jméno</w:t>
            </w:r>
            <w:r w:rsidR="00967638">
              <w:rPr>
                <w:rFonts w:asciiTheme="minorHAnsi" w:hAnsiTheme="minorHAnsi" w:cs="Arial"/>
                <w:sz w:val="22"/>
                <w:szCs w:val="22"/>
                <w:lang w:eastAsia="en-US"/>
              </w:rPr>
              <w:t>, ředitel/</w:t>
            </w:r>
            <w:proofErr w:type="spellStart"/>
            <w:r w:rsidR="00967638">
              <w:rPr>
                <w:rFonts w:asciiTheme="minorHAnsi" w:hAnsiTheme="minorHAnsi" w:cs="Arial"/>
                <w:sz w:val="22"/>
                <w:szCs w:val="22"/>
                <w:lang w:eastAsia="en-US"/>
              </w:rPr>
              <w:t>ka</w:t>
            </w:r>
            <w:proofErr w:type="spellEnd"/>
            <w:r w:rsidR="00967638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organizace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Jméno, ekonom/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organizace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F57FA2" w:rsidTr="00F57FA2">
        <w:trPr>
          <w:trHeight w:val="5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Za odbor školství, mládeže a sportu: 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PhDr. Stanislav Minařík, vedoucí odboru školství, mládeže a sportu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ind w:left="33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</w:tbl>
    <w:p w:rsidR="00F57FA2" w:rsidRDefault="00F57FA2" w:rsidP="00F57FA2">
      <w:pPr>
        <w:rPr>
          <w:rFonts w:asciiTheme="minorHAnsi" w:hAnsiTheme="minorHAnsi" w:cs="Arial"/>
          <w:sz w:val="22"/>
          <w:szCs w:val="22"/>
        </w:rPr>
      </w:pPr>
    </w:p>
    <w:p w:rsidR="00F57FA2" w:rsidRDefault="00F57FA2" w:rsidP="00F57FA2">
      <w:pPr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rPr>
          <w:rFonts w:ascii="Calibri" w:hAnsi="Calibri" w:cs="Arial"/>
          <w:color w:val="0000FF"/>
          <w:sz w:val="22"/>
          <w:szCs w:val="22"/>
        </w:rPr>
      </w:pPr>
    </w:p>
    <w:p w:rsidR="00F57FA2" w:rsidRDefault="00F57FA2" w:rsidP="008A2651">
      <w:pPr>
        <w:jc w:val="both"/>
      </w:pPr>
      <w:r>
        <w:rPr>
          <w:rFonts w:ascii="Calibri" w:hAnsi="Calibri" w:cs="Arial"/>
          <w:sz w:val="22"/>
          <w:szCs w:val="22"/>
        </w:rPr>
        <w:t xml:space="preserve">Stanovisko bude předloženo RZK na </w:t>
      </w:r>
      <w:r w:rsidRPr="00967638">
        <w:rPr>
          <w:rFonts w:ascii="Calibri" w:hAnsi="Calibri" w:cs="Arial"/>
          <w:sz w:val="22"/>
          <w:szCs w:val="22"/>
        </w:rPr>
        <w:t xml:space="preserve">jednání dne </w:t>
      </w:r>
      <w:r w:rsidR="007D3526">
        <w:rPr>
          <w:rFonts w:ascii="Calibri" w:hAnsi="Calibri" w:cs="Arial"/>
          <w:sz w:val="22"/>
          <w:szCs w:val="22"/>
        </w:rPr>
        <w:t>2</w:t>
      </w:r>
      <w:bookmarkStart w:id="0" w:name="_GoBack"/>
      <w:bookmarkEnd w:id="0"/>
      <w:r w:rsidR="00201BED">
        <w:rPr>
          <w:rFonts w:ascii="Calibri" w:hAnsi="Calibri" w:cs="Arial"/>
          <w:sz w:val="22"/>
          <w:szCs w:val="22"/>
        </w:rPr>
        <w:t xml:space="preserve">. 5. </w:t>
      </w:r>
      <w:r w:rsidRPr="00967638">
        <w:rPr>
          <w:rFonts w:ascii="Calibri" w:hAnsi="Calibri" w:cs="Arial"/>
          <w:sz w:val="22"/>
          <w:szCs w:val="22"/>
        </w:rPr>
        <w:t>201</w:t>
      </w:r>
      <w:r w:rsidR="00B31333">
        <w:rPr>
          <w:rFonts w:ascii="Calibri" w:hAnsi="Calibri" w:cs="Arial"/>
          <w:sz w:val="22"/>
          <w:szCs w:val="22"/>
        </w:rPr>
        <w:t>7</w:t>
      </w:r>
      <w:r w:rsidR="008A2651">
        <w:rPr>
          <w:rFonts w:ascii="Calibri" w:hAnsi="Calibri" w:cs="Arial"/>
          <w:sz w:val="22"/>
          <w:szCs w:val="22"/>
        </w:rPr>
        <w:t xml:space="preserve"> radním ZK za oblast školství</w:t>
      </w:r>
      <w:r>
        <w:rPr>
          <w:rFonts w:ascii="Calibri" w:hAnsi="Calibri" w:cs="Arial"/>
          <w:sz w:val="22"/>
          <w:szCs w:val="22"/>
        </w:rPr>
        <w:t xml:space="preserve"> </w:t>
      </w:r>
      <w:r w:rsidR="00B96176">
        <w:rPr>
          <w:rFonts w:ascii="Calibri" w:hAnsi="Calibri" w:cs="Arial"/>
          <w:sz w:val="22"/>
          <w:szCs w:val="22"/>
        </w:rPr>
        <w:t xml:space="preserve">Mgr. </w:t>
      </w:r>
      <w:r w:rsidR="008A2651">
        <w:rPr>
          <w:rFonts w:ascii="Calibri" w:hAnsi="Calibri" w:cs="Arial"/>
          <w:sz w:val="22"/>
          <w:szCs w:val="22"/>
        </w:rPr>
        <w:t>Petr</w:t>
      </w:r>
      <w:r w:rsidR="00B96176">
        <w:rPr>
          <w:rFonts w:ascii="Calibri" w:hAnsi="Calibri" w:cs="Arial"/>
          <w:sz w:val="22"/>
          <w:szCs w:val="22"/>
        </w:rPr>
        <w:t>em Gazdíkem.</w:t>
      </w:r>
    </w:p>
    <w:sectPr w:rsidR="00F57FA2" w:rsidSect="00E35704">
      <w:footerReference w:type="even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83A" w:rsidRDefault="00A8183A">
      <w:r>
        <w:separator/>
      </w:r>
    </w:p>
  </w:endnote>
  <w:endnote w:type="continuationSeparator" w:id="0">
    <w:p w:rsidR="00A8183A" w:rsidRDefault="00A8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4" w:rsidRDefault="009A3ABC" w:rsidP="00067F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7554" w:rsidRDefault="007477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4" w:rsidRPr="00E35704" w:rsidRDefault="009A3ABC" w:rsidP="00E35704">
    <w:pPr>
      <w:pStyle w:val="Zpat"/>
      <w:jc w:val="center"/>
      <w:rPr>
        <w:rFonts w:ascii="Arial" w:hAnsi="Arial" w:cs="Arial"/>
        <w:sz w:val="16"/>
        <w:szCs w:val="16"/>
      </w:rPr>
    </w:pPr>
    <w:r w:rsidRPr="00E35704">
      <w:rPr>
        <w:rStyle w:val="slostrnky"/>
        <w:rFonts w:ascii="Arial" w:hAnsi="Arial" w:cs="Arial"/>
        <w:sz w:val="16"/>
        <w:szCs w:val="16"/>
      </w:rPr>
      <w:fldChar w:fldCharType="begin"/>
    </w:r>
    <w:r w:rsidRPr="00E3570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35704">
      <w:rPr>
        <w:rStyle w:val="slostrnky"/>
        <w:rFonts w:ascii="Arial" w:hAnsi="Arial" w:cs="Arial"/>
        <w:sz w:val="16"/>
        <w:szCs w:val="16"/>
      </w:rPr>
      <w:fldChar w:fldCharType="separate"/>
    </w:r>
    <w:r w:rsidR="00747795">
      <w:rPr>
        <w:rStyle w:val="slostrnky"/>
        <w:rFonts w:ascii="Arial" w:hAnsi="Arial" w:cs="Arial"/>
        <w:noProof/>
        <w:sz w:val="16"/>
        <w:szCs w:val="16"/>
      </w:rPr>
      <w:t>7</w:t>
    </w:r>
    <w:r w:rsidRPr="00E3570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4" w:rsidRPr="00077AC6" w:rsidRDefault="009A3ABC" w:rsidP="00077AC6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077AC6">
      <w:rPr>
        <w:rStyle w:val="slostrnky"/>
        <w:rFonts w:ascii="Arial" w:hAnsi="Arial" w:cs="Arial"/>
        <w:sz w:val="16"/>
        <w:szCs w:val="16"/>
      </w:rPr>
      <w:fldChar w:fldCharType="begin"/>
    </w:r>
    <w:r w:rsidRPr="00077AC6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077AC6">
      <w:rPr>
        <w:rStyle w:val="slostrnky"/>
        <w:rFonts w:ascii="Arial" w:hAnsi="Arial" w:cs="Arial"/>
        <w:sz w:val="16"/>
        <w:szCs w:val="16"/>
      </w:rPr>
      <w:fldChar w:fldCharType="separate"/>
    </w:r>
    <w:r w:rsidR="00747795">
      <w:rPr>
        <w:rStyle w:val="slostrnky"/>
        <w:rFonts w:ascii="Arial" w:hAnsi="Arial" w:cs="Arial"/>
        <w:noProof/>
        <w:sz w:val="16"/>
        <w:szCs w:val="16"/>
      </w:rPr>
      <w:t>1</w:t>
    </w:r>
    <w:r w:rsidRPr="00077AC6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83A" w:rsidRDefault="00A8183A">
      <w:r>
        <w:separator/>
      </w:r>
    </w:p>
  </w:footnote>
  <w:footnote w:type="continuationSeparator" w:id="0">
    <w:p w:rsidR="00A8183A" w:rsidRDefault="00A8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7E6F"/>
    <w:multiLevelType w:val="hybridMultilevel"/>
    <w:tmpl w:val="58EA91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000C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1612"/>
    <w:multiLevelType w:val="hybridMultilevel"/>
    <w:tmpl w:val="B6323DCA"/>
    <w:lvl w:ilvl="0" w:tplc="0000000C">
      <w:start w:val="2004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000000C">
      <w:start w:val="2004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BC"/>
    <w:rsid w:val="00024D02"/>
    <w:rsid w:val="00061344"/>
    <w:rsid w:val="00081154"/>
    <w:rsid w:val="000812B5"/>
    <w:rsid w:val="00123895"/>
    <w:rsid w:val="001663A6"/>
    <w:rsid w:val="00190538"/>
    <w:rsid w:val="001922DE"/>
    <w:rsid w:val="001A5AB9"/>
    <w:rsid w:val="001F2DDA"/>
    <w:rsid w:val="00201BED"/>
    <w:rsid w:val="002529E1"/>
    <w:rsid w:val="0026324A"/>
    <w:rsid w:val="00282510"/>
    <w:rsid w:val="002850F8"/>
    <w:rsid w:val="002D0600"/>
    <w:rsid w:val="002D373C"/>
    <w:rsid w:val="00320959"/>
    <w:rsid w:val="003541B7"/>
    <w:rsid w:val="00370D97"/>
    <w:rsid w:val="00374A54"/>
    <w:rsid w:val="003B61B0"/>
    <w:rsid w:val="003D6CAA"/>
    <w:rsid w:val="00401557"/>
    <w:rsid w:val="00407D74"/>
    <w:rsid w:val="00420486"/>
    <w:rsid w:val="004443BF"/>
    <w:rsid w:val="004449D0"/>
    <w:rsid w:val="004503CA"/>
    <w:rsid w:val="004755B7"/>
    <w:rsid w:val="00503392"/>
    <w:rsid w:val="005131F3"/>
    <w:rsid w:val="0053370C"/>
    <w:rsid w:val="005545BA"/>
    <w:rsid w:val="0057276D"/>
    <w:rsid w:val="00574D88"/>
    <w:rsid w:val="00576AEC"/>
    <w:rsid w:val="005A5111"/>
    <w:rsid w:val="005C1097"/>
    <w:rsid w:val="005C683D"/>
    <w:rsid w:val="00635FAF"/>
    <w:rsid w:val="00645214"/>
    <w:rsid w:val="00695A37"/>
    <w:rsid w:val="006C498B"/>
    <w:rsid w:val="006D3602"/>
    <w:rsid w:val="006D4F32"/>
    <w:rsid w:val="00747795"/>
    <w:rsid w:val="00757E70"/>
    <w:rsid w:val="007768C8"/>
    <w:rsid w:val="007A4570"/>
    <w:rsid w:val="007B7694"/>
    <w:rsid w:val="007D3526"/>
    <w:rsid w:val="007E2D68"/>
    <w:rsid w:val="007F3E29"/>
    <w:rsid w:val="008101E8"/>
    <w:rsid w:val="00811B3F"/>
    <w:rsid w:val="00845A77"/>
    <w:rsid w:val="00863266"/>
    <w:rsid w:val="008A2651"/>
    <w:rsid w:val="008B647F"/>
    <w:rsid w:val="008E3898"/>
    <w:rsid w:val="008F31B5"/>
    <w:rsid w:val="00904AEA"/>
    <w:rsid w:val="00911BE4"/>
    <w:rsid w:val="0091544E"/>
    <w:rsid w:val="00921099"/>
    <w:rsid w:val="00950476"/>
    <w:rsid w:val="00967638"/>
    <w:rsid w:val="009A2A7A"/>
    <w:rsid w:val="009A3ABC"/>
    <w:rsid w:val="00A42A86"/>
    <w:rsid w:val="00A66C2A"/>
    <w:rsid w:val="00A8183A"/>
    <w:rsid w:val="00AA75C2"/>
    <w:rsid w:val="00B31333"/>
    <w:rsid w:val="00B96176"/>
    <w:rsid w:val="00BC6D74"/>
    <w:rsid w:val="00BD117E"/>
    <w:rsid w:val="00C305A9"/>
    <w:rsid w:val="00C32BB9"/>
    <w:rsid w:val="00C96B3C"/>
    <w:rsid w:val="00CD74AA"/>
    <w:rsid w:val="00CE453A"/>
    <w:rsid w:val="00D23854"/>
    <w:rsid w:val="00D349DF"/>
    <w:rsid w:val="00D47973"/>
    <w:rsid w:val="00D709BF"/>
    <w:rsid w:val="00D953E6"/>
    <w:rsid w:val="00DA612B"/>
    <w:rsid w:val="00DB1402"/>
    <w:rsid w:val="00DE2D9A"/>
    <w:rsid w:val="00DF7D20"/>
    <w:rsid w:val="00E23C07"/>
    <w:rsid w:val="00E25AEA"/>
    <w:rsid w:val="00E47AF2"/>
    <w:rsid w:val="00E67E88"/>
    <w:rsid w:val="00E9397C"/>
    <w:rsid w:val="00EB0F59"/>
    <w:rsid w:val="00EB64DB"/>
    <w:rsid w:val="00EB7B1D"/>
    <w:rsid w:val="00F42CCC"/>
    <w:rsid w:val="00F57FA2"/>
    <w:rsid w:val="00F858B4"/>
    <w:rsid w:val="00F87CA9"/>
    <w:rsid w:val="00F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4FB458-166D-4DDD-83F7-1A31A71E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A3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A3ABC"/>
  </w:style>
  <w:style w:type="paragraph" w:styleId="Zhlav">
    <w:name w:val="header"/>
    <w:basedOn w:val="Normln"/>
    <w:link w:val="ZhlavChar"/>
    <w:rsid w:val="009A3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A3ABC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9A3AB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AB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05A9"/>
    <w:pPr>
      <w:ind w:left="720"/>
      <w:contextualSpacing/>
    </w:pPr>
    <w:rPr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305A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1317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Skopalík Aleš</dc:creator>
  <cp:lastModifiedBy>Suchomelová Svatava</cp:lastModifiedBy>
  <cp:revision>2</cp:revision>
  <cp:lastPrinted>2017-03-07T14:32:00Z</cp:lastPrinted>
  <dcterms:created xsi:type="dcterms:W3CDTF">2017-04-18T08:34:00Z</dcterms:created>
  <dcterms:modified xsi:type="dcterms:W3CDTF">2017-04-18T08:34:00Z</dcterms:modified>
</cp:coreProperties>
</file>